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jc w:val="left"/>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8</w:t>
      </w:r>
      <w:bookmarkStart w:id="0" w:name="_GoBack"/>
      <w:bookmarkEnd w:id="0"/>
    </w:p>
    <w:p>
      <w:pPr>
        <w:autoSpaceDE w:val="0"/>
        <w:autoSpaceDN w:val="0"/>
        <w:adjustRightInd w:val="0"/>
        <w:snapToGrid w:val="0"/>
        <w:spacing w:before="156" w:beforeLines="50" w:after="156" w:afterLines="50" w:line="300" w:lineRule="auto"/>
        <w:jc w:val="center"/>
        <w:rPr>
          <w:rFonts w:ascii="Times New Roman" w:hAnsi="Times New Roman" w:eastAsia="黑体"/>
          <w:kern w:val="0"/>
          <w:sz w:val="32"/>
          <w:szCs w:val="30"/>
        </w:rPr>
      </w:pPr>
      <w:r>
        <w:rPr>
          <w:rFonts w:ascii="Times New Roman" w:hAnsi="Times New Roman" w:eastAsia="黑体"/>
          <w:kern w:val="0"/>
          <w:sz w:val="32"/>
          <w:szCs w:val="30"/>
        </w:rPr>
        <w:t>化妆品中联苯乙烯二苯基二磺酸二钠等5种原料的检验方法</w:t>
      </w:r>
    </w:p>
    <w:p>
      <w:pPr>
        <w:autoSpaceDE w:val="0"/>
        <w:autoSpaceDN w:val="0"/>
        <w:adjustRightInd w:val="0"/>
        <w:snapToGrid w:val="0"/>
        <w:spacing w:before="156" w:beforeLines="50" w:after="156" w:afterLines="50" w:line="300" w:lineRule="auto"/>
        <w:jc w:val="center"/>
        <w:rPr>
          <w:rFonts w:ascii="Times New Roman" w:hAnsi="Times New Roman"/>
          <w:szCs w:val="21"/>
          <w:shd w:val="clear" w:color="auto" w:fill="FFFFFF"/>
        </w:rPr>
      </w:pPr>
      <w:r>
        <w:rPr>
          <w:rFonts w:ascii="Times New Roman" w:hAnsi="Times New Roman"/>
          <w:szCs w:val="21"/>
          <w:shd w:val="clear" w:color="auto" w:fill="FFFFFF"/>
        </w:rPr>
        <w:t xml:space="preserve">Disodium distyrylbiphenyl disulfonate and other </w:t>
      </w:r>
      <w:r>
        <w:rPr>
          <w:rFonts w:hint="eastAsia" w:ascii="Times New Roman" w:hAnsi="Times New Roman"/>
          <w:szCs w:val="21"/>
          <w:shd w:val="clear" w:color="auto" w:fill="FFFFFF"/>
        </w:rPr>
        <w:t>4</w:t>
      </w:r>
      <w:r>
        <w:rPr>
          <w:rFonts w:ascii="Times New Roman" w:hAnsi="Times New Roman"/>
          <w:szCs w:val="21"/>
          <w:shd w:val="clear" w:color="auto" w:fill="FFFFFF"/>
        </w:rPr>
        <w:t xml:space="preserve"> kinds of components</w:t>
      </w:r>
      <w:r>
        <w:rPr>
          <w:rFonts w:hint="eastAsia" w:ascii="Times New Roman" w:hAnsi="Times New Roman"/>
          <w:szCs w:val="21"/>
          <w:shd w:val="clear" w:color="auto" w:fill="FFFFFF"/>
        </w:rPr>
        <w:t xml:space="preserve"> in cosmetic</w:t>
      </w:r>
    </w:p>
    <w:p>
      <w:pPr>
        <w:snapToGrid w:val="0"/>
        <w:spacing w:before="156" w:beforeLines="50" w:after="156" w:afterLines="50" w:line="300" w:lineRule="auto"/>
        <w:rPr>
          <w:rFonts w:ascii="Times New Roman" w:hAnsi="Times New Roman" w:eastAsia="黑体"/>
          <w:kern w:val="0"/>
          <w:szCs w:val="21"/>
        </w:rPr>
      </w:pPr>
      <w:r>
        <w:rPr>
          <w:rFonts w:ascii="Times New Roman" w:hAnsi="Times New Roman" w:eastAsia="黑体"/>
          <w:kern w:val="0"/>
          <w:szCs w:val="21"/>
        </w:rPr>
        <w:t xml:space="preserve">1 </w:t>
      </w:r>
      <w:r>
        <w:rPr>
          <w:rFonts w:hint="eastAsia" w:ascii="Times New Roman" w:hAnsi="Times New Roman" w:eastAsia="黑体"/>
          <w:kern w:val="0"/>
          <w:szCs w:val="21"/>
        </w:rPr>
        <w:t xml:space="preserve"> </w:t>
      </w:r>
      <w:r>
        <w:rPr>
          <w:rFonts w:ascii="Times New Roman" w:hAnsi="Times New Roman" w:eastAsia="黑体"/>
          <w:kern w:val="0"/>
          <w:szCs w:val="21"/>
        </w:rPr>
        <w:t>范围</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本方法规定了高效液相色谱-荧光检测器法测定联苯乙烯二苯基二磺酸二钠等5种原料的含量。</w:t>
      </w:r>
    </w:p>
    <w:p>
      <w:pPr>
        <w:snapToGrid w:val="0"/>
        <w:spacing w:before="156" w:beforeLines="50" w:after="156" w:afterLines="50" w:line="300" w:lineRule="auto"/>
        <w:ind w:firstLine="420" w:firstLineChars="200"/>
        <w:rPr>
          <w:rFonts w:ascii="Times New Roman" w:hAnsi="Times New Roman"/>
          <w:kern w:val="0"/>
          <w:szCs w:val="21"/>
        </w:rPr>
      </w:pPr>
      <w:r>
        <w:rPr>
          <w:rFonts w:ascii="Times New Roman" w:hAnsi="Times New Roman"/>
          <w:szCs w:val="21"/>
        </w:rPr>
        <w:t>本方法适用于面膜、化妆水、护肤乳、护肤霜类型化妆品中联苯乙烯二苯基二磺酸二钠等5种原料含量的测定。</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本方法所指的5种原料包括联苯乙烯二苯基二磺酸二钠、</w:t>
      </w:r>
      <w:r>
        <w:rPr>
          <w:rFonts w:ascii="Times New Roman" w:hAnsi="Times New Roman"/>
          <w:kern w:val="0"/>
          <w:szCs w:val="21"/>
        </w:rPr>
        <w:t>4,4'-双[(4-苯胺基-6-羟乙基氨基-1,3,5-三嗪-2-基)氨基]二苯乙烯-2,2'-二磺酸二钠盐</w:t>
      </w:r>
      <w:r>
        <w:rPr>
          <w:rFonts w:ascii="Times New Roman" w:hAnsi="Times New Roman"/>
          <w:szCs w:val="21"/>
        </w:rPr>
        <w:t>、二乙氨基甲基香豆素、二苯并噁唑基萘、双（叔丁基苯并噁唑基）噻吩。</w:t>
      </w:r>
    </w:p>
    <w:p>
      <w:pPr>
        <w:snapToGrid w:val="0"/>
        <w:spacing w:before="156" w:beforeLines="50" w:after="156" w:afterLines="50" w:line="300" w:lineRule="auto"/>
        <w:rPr>
          <w:rFonts w:ascii="Times New Roman" w:hAnsi="Times New Roman" w:eastAsia="黑体"/>
          <w:kern w:val="0"/>
          <w:szCs w:val="21"/>
        </w:rPr>
      </w:pPr>
      <w:r>
        <w:rPr>
          <w:rFonts w:ascii="Times New Roman" w:hAnsi="Times New Roman" w:eastAsia="黑体"/>
          <w:kern w:val="0"/>
          <w:szCs w:val="21"/>
        </w:rPr>
        <w:t xml:space="preserve">2 </w:t>
      </w:r>
      <w:r>
        <w:rPr>
          <w:rFonts w:hint="eastAsia" w:ascii="Times New Roman" w:hAnsi="Times New Roman" w:eastAsia="黑体"/>
          <w:kern w:val="0"/>
          <w:szCs w:val="21"/>
        </w:rPr>
        <w:t xml:space="preserve"> </w:t>
      </w:r>
      <w:r>
        <w:rPr>
          <w:rFonts w:ascii="Times New Roman" w:hAnsi="Times New Roman" w:eastAsia="黑体"/>
          <w:kern w:val="0"/>
          <w:szCs w:val="21"/>
        </w:rPr>
        <w:t>方法提要</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样品处理后，经高效液相色谱仪分离，荧光检测器检测，根据保留时间定性，峰面积定量，以标准曲线法计算含量，对于测定过程中有阳性结果的样品，采用液相色谱-质谱法进行定性确证。</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本方法中各原料的检出限、定量下限及取样量为0.5</w:t>
      </w:r>
      <w:r>
        <w:rPr>
          <w:rFonts w:hint="eastAsia" w:ascii="Times New Roman" w:hAnsi="Times New Roman"/>
          <w:szCs w:val="21"/>
        </w:rPr>
        <w:t xml:space="preserve"> </w:t>
      </w:r>
      <w:r>
        <w:rPr>
          <w:rFonts w:ascii="Times New Roman" w:hAnsi="Times New Roman"/>
          <w:szCs w:val="21"/>
        </w:rPr>
        <w:t>g时的检出浓度和最低定量浓度见表1。</w:t>
      </w: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表1 5种原料的检出限、定量下限、检出浓度和最低定量浓度</w:t>
      </w:r>
    </w:p>
    <w:tbl>
      <w:tblPr>
        <w:tblStyle w:val="15"/>
        <w:tblW w:w="8522" w:type="dxa"/>
        <w:jc w:val="center"/>
        <w:tblInd w:w="0" w:type="dxa"/>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3"/>
        <w:gridCol w:w="1277"/>
        <w:gridCol w:w="1343"/>
        <w:gridCol w:w="1609"/>
        <w:gridCol w:w="1800"/>
      </w:tblGrid>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6" w:hRule="atLeast"/>
          <w:jc w:val="center"/>
        </w:trPr>
        <w:tc>
          <w:tcPr>
            <w:tcW w:w="2493" w:type="dxa"/>
            <w:tcBorders>
              <w:top w:val="single" w:color="000000" w:sz="2" w:space="0"/>
              <w:bottom w:val="single" w:color="000000" w:sz="2"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名称</w:t>
            </w:r>
          </w:p>
        </w:tc>
        <w:tc>
          <w:tcPr>
            <w:tcW w:w="1277" w:type="dxa"/>
            <w:tcBorders>
              <w:top w:val="single" w:color="000000" w:sz="2" w:space="0"/>
              <w:bottom w:val="single" w:color="000000" w:sz="2"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检出限（ng）</w:t>
            </w:r>
          </w:p>
        </w:tc>
        <w:tc>
          <w:tcPr>
            <w:tcW w:w="1343" w:type="dxa"/>
            <w:tcBorders>
              <w:top w:val="single" w:color="000000" w:sz="2" w:space="0"/>
              <w:bottom w:val="single" w:color="000000" w:sz="2"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定量下限（ng）</w:t>
            </w:r>
          </w:p>
        </w:tc>
        <w:tc>
          <w:tcPr>
            <w:tcW w:w="1609" w:type="dxa"/>
            <w:tcBorders>
              <w:top w:val="single" w:color="000000" w:sz="2" w:space="0"/>
              <w:bottom w:val="single" w:color="000000" w:sz="2"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检出浓度(μg/g)</w:t>
            </w:r>
          </w:p>
        </w:tc>
        <w:tc>
          <w:tcPr>
            <w:tcW w:w="1800" w:type="dxa"/>
            <w:tcBorders>
              <w:top w:val="single" w:color="000000" w:sz="2" w:space="0"/>
              <w:bottom w:val="single" w:color="000000" w:sz="2"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最低定量浓度(μg/g)</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jc w:val="center"/>
        </w:trPr>
        <w:tc>
          <w:tcPr>
            <w:tcW w:w="2493" w:type="dxa"/>
            <w:tcBorders>
              <w:top w:val="single" w:color="000000" w:sz="2" w:space="0"/>
            </w:tcBorders>
            <w:vAlign w:val="center"/>
          </w:tcPr>
          <w:p>
            <w:pPr>
              <w:spacing w:line="300" w:lineRule="auto"/>
              <w:jc w:val="center"/>
              <w:rPr>
                <w:rFonts w:ascii="Times New Roman" w:hAnsi="Times New Roman" w:eastAsiaTheme="minorEastAsia"/>
                <w:szCs w:val="21"/>
              </w:rPr>
            </w:pPr>
            <w:r>
              <w:rPr>
                <w:rFonts w:ascii="Times New Roman" w:hAnsi="Times New Roman"/>
                <w:kern w:val="0"/>
                <w:szCs w:val="21"/>
              </w:rPr>
              <w:t>4,4'-双[(4-苯胺基-6-羟乙基氨基-1,3,5-三嗪-2-基)氨基]二苯乙烯-2,2'-二磺酸二钠盐</w:t>
            </w:r>
          </w:p>
        </w:tc>
        <w:tc>
          <w:tcPr>
            <w:tcW w:w="1277" w:type="dxa"/>
            <w:tcBorders>
              <w:top w:val="single" w:color="000000" w:sz="2"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0.04</w:t>
            </w:r>
          </w:p>
        </w:tc>
        <w:tc>
          <w:tcPr>
            <w:tcW w:w="1343" w:type="dxa"/>
            <w:tcBorders>
              <w:top w:val="single" w:color="000000" w:sz="2"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0.1</w:t>
            </w:r>
          </w:p>
        </w:tc>
        <w:tc>
          <w:tcPr>
            <w:tcW w:w="1609" w:type="dxa"/>
            <w:tcBorders>
              <w:top w:val="single" w:color="000000" w:sz="2"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1.6</w:t>
            </w:r>
          </w:p>
        </w:tc>
        <w:tc>
          <w:tcPr>
            <w:tcW w:w="1800" w:type="dxa"/>
            <w:tcBorders>
              <w:top w:val="single" w:color="000000" w:sz="2" w:space="0"/>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4</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2493" w:type="dxa"/>
            <w:vAlign w:val="center"/>
          </w:tcPr>
          <w:p>
            <w:pPr>
              <w:spacing w:line="300" w:lineRule="auto"/>
              <w:jc w:val="center"/>
              <w:rPr>
                <w:rFonts w:ascii="Times New Roman" w:hAnsi="Times New Roman" w:eastAsiaTheme="minorEastAsia"/>
                <w:szCs w:val="21"/>
              </w:rPr>
            </w:pPr>
            <w:r>
              <w:rPr>
                <w:rFonts w:ascii="Times New Roman" w:hAnsi="Times New Roman"/>
                <w:szCs w:val="21"/>
              </w:rPr>
              <w:t>联苯乙烯二苯基二磺酸二钠</w:t>
            </w:r>
          </w:p>
        </w:tc>
        <w:tc>
          <w:tcPr>
            <w:tcW w:w="1277"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0.005</w:t>
            </w:r>
          </w:p>
        </w:tc>
        <w:tc>
          <w:tcPr>
            <w:tcW w:w="1343"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0.02</w:t>
            </w:r>
          </w:p>
        </w:tc>
        <w:tc>
          <w:tcPr>
            <w:tcW w:w="1609"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0.2</w:t>
            </w:r>
          </w:p>
        </w:tc>
        <w:tc>
          <w:tcPr>
            <w:tcW w:w="1800"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0.8</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 w:hRule="atLeast"/>
          <w:jc w:val="center"/>
        </w:trPr>
        <w:tc>
          <w:tcPr>
            <w:tcW w:w="2493" w:type="dxa"/>
            <w:vAlign w:val="center"/>
          </w:tcPr>
          <w:p>
            <w:pPr>
              <w:spacing w:line="300" w:lineRule="auto"/>
              <w:jc w:val="center"/>
              <w:rPr>
                <w:rFonts w:ascii="Times New Roman" w:hAnsi="Times New Roman" w:eastAsiaTheme="minorEastAsia"/>
                <w:szCs w:val="21"/>
              </w:rPr>
            </w:pPr>
            <w:r>
              <w:rPr>
                <w:rFonts w:ascii="Times New Roman" w:hAnsi="Times New Roman"/>
                <w:szCs w:val="21"/>
              </w:rPr>
              <w:t>二乙氨基甲基香豆素</w:t>
            </w:r>
          </w:p>
        </w:tc>
        <w:tc>
          <w:tcPr>
            <w:tcW w:w="1277"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0.005</w:t>
            </w:r>
          </w:p>
        </w:tc>
        <w:tc>
          <w:tcPr>
            <w:tcW w:w="1343"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0.02</w:t>
            </w:r>
          </w:p>
        </w:tc>
        <w:tc>
          <w:tcPr>
            <w:tcW w:w="1609"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0.2</w:t>
            </w:r>
          </w:p>
        </w:tc>
        <w:tc>
          <w:tcPr>
            <w:tcW w:w="1800"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0.8</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PrEx>
        <w:trPr>
          <w:trHeight w:val="136" w:hRule="atLeast"/>
          <w:jc w:val="center"/>
        </w:trPr>
        <w:tc>
          <w:tcPr>
            <w:tcW w:w="2493"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二苯并噁唑基萘</w:t>
            </w:r>
          </w:p>
        </w:tc>
        <w:tc>
          <w:tcPr>
            <w:tcW w:w="1277"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0.003</w:t>
            </w:r>
          </w:p>
        </w:tc>
        <w:tc>
          <w:tcPr>
            <w:tcW w:w="1343"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0.01</w:t>
            </w:r>
          </w:p>
        </w:tc>
        <w:tc>
          <w:tcPr>
            <w:tcW w:w="1609"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0.12</w:t>
            </w:r>
          </w:p>
        </w:tc>
        <w:tc>
          <w:tcPr>
            <w:tcW w:w="1800"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0.4</w:t>
            </w:r>
          </w:p>
        </w:tc>
      </w:tr>
      <w:tr>
        <w:tblPrEx>
          <w:tblBorders>
            <w:top w:val="single" w:color="000000" w:sz="2"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 w:hRule="atLeast"/>
          <w:jc w:val="center"/>
        </w:trPr>
        <w:tc>
          <w:tcPr>
            <w:tcW w:w="2493" w:type="dxa"/>
            <w:vAlign w:val="center"/>
          </w:tcPr>
          <w:p>
            <w:pPr>
              <w:spacing w:line="300" w:lineRule="auto"/>
              <w:jc w:val="center"/>
              <w:rPr>
                <w:rFonts w:ascii="Times New Roman" w:hAnsi="Times New Roman" w:eastAsiaTheme="minorEastAsia"/>
                <w:szCs w:val="21"/>
              </w:rPr>
            </w:pPr>
            <w:r>
              <w:rPr>
                <w:rFonts w:ascii="Times New Roman" w:hAnsi="Times New Roman"/>
                <w:szCs w:val="21"/>
              </w:rPr>
              <w:t>双（叔丁基苯并噁唑基）噻吩</w:t>
            </w:r>
          </w:p>
        </w:tc>
        <w:tc>
          <w:tcPr>
            <w:tcW w:w="1277"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0.003</w:t>
            </w:r>
          </w:p>
        </w:tc>
        <w:tc>
          <w:tcPr>
            <w:tcW w:w="1343"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0.01</w:t>
            </w:r>
          </w:p>
        </w:tc>
        <w:tc>
          <w:tcPr>
            <w:tcW w:w="1609"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0.12</w:t>
            </w:r>
          </w:p>
        </w:tc>
        <w:tc>
          <w:tcPr>
            <w:tcW w:w="1800" w:type="dxa"/>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0.4</w:t>
            </w:r>
          </w:p>
        </w:tc>
      </w:tr>
    </w:tbl>
    <w:p>
      <w:pPr>
        <w:snapToGrid w:val="0"/>
        <w:spacing w:before="156" w:beforeLines="50" w:after="156" w:afterLines="50" w:line="300" w:lineRule="auto"/>
        <w:rPr>
          <w:rFonts w:ascii="Times New Roman" w:hAnsi="Times New Roman" w:eastAsia="黑体"/>
          <w:szCs w:val="21"/>
        </w:rPr>
      </w:pPr>
      <w:r>
        <w:rPr>
          <w:rFonts w:ascii="Times New Roman" w:hAnsi="Times New Roman" w:eastAsia="黑体"/>
          <w:szCs w:val="21"/>
        </w:rPr>
        <w:t xml:space="preserve">3 </w:t>
      </w:r>
      <w:r>
        <w:rPr>
          <w:rFonts w:hint="eastAsia" w:ascii="Times New Roman" w:hAnsi="Times New Roman" w:eastAsia="黑体"/>
          <w:szCs w:val="21"/>
        </w:rPr>
        <w:t xml:space="preserve"> </w:t>
      </w:r>
      <w:r>
        <w:rPr>
          <w:rFonts w:ascii="Times New Roman" w:hAnsi="Times New Roman" w:eastAsia="黑体"/>
          <w:szCs w:val="21"/>
        </w:rPr>
        <w:t>试剂和材料</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除另有规定外，本方法所用试剂均为分析纯或以上规格，水为GB/T 6682规定的一级水。</w:t>
      </w:r>
    </w:p>
    <w:p>
      <w:pPr>
        <w:snapToGrid w:val="0"/>
        <w:spacing w:before="156" w:beforeLines="50" w:after="156" w:afterLines="50" w:line="300" w:lineRule="auto"/>
        <w:rPr>
          <w:rFonts w:ascii="Times New Roman" w:hAnsi="Times New Roman" w:eastAsiaTheme="minorEastAsia"/>
          <w:kern w:val="0"/>
          <w:szCs w:val="21"/>
        </w:rPr>
      </w:pPr>
      <w:r>
        <w:rPr>
          <w:rFonts w:ascii="Times New Roman" w:hAnsi="Times New Roman" w:eastAsiaTheme="minorEastAsia"/>
          <w:kern w:val="0"/>
          <w:szCs w:val="21"/>
        </w:rPr>
        <w:t>3.1  乙腈，色谱纯。</w:t>
      </w:r>
    </w:p>
    <w:p>
      <w:pPr>
        <w:snapToGrid w:val="0"/>
        <w:spacing w:before="156" w:beforeLines="50" w:after="156" w:afterLines="50" w:line="300" w:lineRule="auto"/>
        <w:rPr>
          <w:rFonts w:ascii="Times New Roman" w:hAnsi="Times New Roman"/>
          <w:kern w:val="0"/>
          <w:szCs w:val="21"/>
        </w:rPr>
      </w:pPr>
      <w:r>
        <w:rPr>
          <w:rFonts w:ascii="Times New Roman" w:hAnsi="Times New Roman"/>
          <w:kern w:val="0"/>
          <w:szCs w:val="21"/>
        </w:rPr>
        <w:t xml:space="preserve">3.2  </w:t>
      </w:r>
      <w:r>
        <w:rPr>
          <w:rFonts w:ascii="Times New Roman" w:hAnsi="Times New Roman"/>
          <w:szCs w:val="21"/>
        </w:rPr>
        <w:t>氨水，优级纯，含量（NH</w:t>
      </w:r>
      <w:r>
        <w:rPr>
          <w:rFonts w:ascii="Times New Roman" w:hAnsi="Times New Roman"/>
          <w:szCs w:val="21"/>
          <w:vertAlign w:val="subscript"/>
        </w:rPr>
        <w:t>3</w:t>
      </w:r>
      <w:r>
        <w:rPr>
          <w:rFonts w:ascii="Times New Roman" w:hAnsi="Times New Roman"/>
          <w:szCs w:val="21"/>
        </w:rPr>
        <w:t>）=25%～28%。</w:t>
      </w:r>
    </w:p>
    <w:p>
      <w:pPr>
        <w:snapToGrid w:val="0"/>
        <w:spacing w:before="156" w:beforeLines="50" w:after="156" w:afterLines="50" w:line="300" w:lineRule="auto"/>
        <w:rPr>
          <w:rFonts w:ascii="Times New Roman" w:hAnsi="Times New Roman"/>
          <w:kern w:val="0"/>
          <w:szCs w:val="21"/>
        </w:rPr>
      </w:pPr>
      <w:r>
        <w:rPr>
          <w:rFonts w:ascii="Times New Roman" w:hAnsi="Times New Roman"/>
          <w:kern w:val="0"/>
          <w:szCs w:val="21"/>
        </w:rPr>
        <w:t>3.3  乙酸铵，色谱纯。</w:t>
      </w:r>
    </w:p>
    <w:p>
      <w:pPr>
        <w:snapToGrid w:val="0"/>
        <w:spacing w:before="156" w:beforeLines="50" w:after="156" w:afterLines="50" w:line="300" w:lineRule="auto"/>
        <w:rPr>
          <w:rFonts w:ascii="Times New Roman" w:hAnsi="Times New Roman"/>
          <w:kern w:val="0"/>
          <w:szCs w:val="21"/>
        </w:rPr>
      </w:pPr>
      <w:r>
        <w:rPr>
          <w:rFonts w:ascii="Times New Roman" w:hAnsi="Times New Roman"/>
          <w:kern w:val="0"/>
          <w:szCs w:val="21"/>
        </w:rPr>
        <w:t>3.4  N，N-二甲基甲酰胺（DMF），色谱纯。</w:t>
      </w:r>
    </w:p>
    <w:p>
      <w:pPr>
        <w:snapToGrid w:val="0"/>
        <w:spacing w:before="156" w:beforeLines="50" w:after="156" w:afterLines="50" w:line="300" w:lineRule="auto"/>
        <w:rPr>
          <w:rFonts w:ascii="Times New Roman" w:hAnsi="Times New Roman"/>
          <w:szCs w:val="21"/>
        </w:rPr>
      </w:pPr>
      <w:r>
        <w:rPr>
          <w:rFonts w:ascii="Times New Roman" w:hAnsi="Times New Roman"/>
          <w:szCs w:val="21"/>
        </w:rPr>
        <w:t>3.5  流动相的配制：</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流动相A: 25</w:t>
      </w:r>
      <w:r>
        <w:rPr>
          <w:rFonts w:hint="eastAsia" w:ascii="Times New Roman" w:hAnsi="Times New Roman"/>
          <w:szCs w:val="21"/>
        </w:rPr>
        <w:t xml:space="preserve"> </w:t>
      </w:r>
      <w:r>
        <w:rPr>
          <w:rFonts w:ascii="Times New Roman" w:hAnsi="Times New Roman"/>
          <w:szCs w:val="21"/>
        </w:rPr>
        <w:t>mmol/L乙酸铵溶液，用氨水调节pH至8.0，过滤。</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流动相B: 乙腈。</w:t>
      </w:r>
    </w:p>
    <w:p>
      <w:pPr>
        <w:snapToGrid w:val="0"/>
        <w:spacing w:before="156" w:beforeLines="50" w:after="156" w:afterLines="50" w:line="300" w:lineRule="auto"/>
        <w:rPr>
          <w:rFonts w:ascii="Times New Roman" w:hAnsi="Times New Roman"/>
          <w:kern w:val="0"/>
          <w:szCs w:val="21"/>
        </w:rPr>
      </w:pPr>
      <w:r>
        <w:rPr>
          <w:rFonts w:ascii="Times New Roman" w:hAnsi="Times New Roman"/>
          <w:kern w:val="0"/>
          <w:szCs w:val="21"/>
        </w:rPr>
        <w:t>3.6  混合溶剂：70%</w:t>
      </w:r>
      <w:r>
        <w:rPr>
          <w:rFonts w:hint="eastAsia" w:ascii="Times New Roman" w:hAnsi="Times New Roman"/>
          <w:kern w:val="0"/>
          <w:szCs w:val="21"/>
        </w:rPr>
        <w:t xml:space="preserve"> </w:t>
      </w:r>
      <w:r>
        <w:rPr>
          <w:rFonts w:ascii="Times New Roman" w:hAnsi="Times New Roman"/>
          <w:kern w:val="0"/>
          <w:szCs w:val="21"/>
        </w:rPr>
        <w:t>25</w:t>
      </w:r>
      <w:r>
        <w:rPr>
          <w:rFonts w:hint="eastAsia" w:ascii="Times New Roman" w:hAnsi="Times New Roman"/>
          <w:kern w:val="0"/>
          <w:szCs w:val="21"/>
        </w:rPr>
        <w:t xml:space="preserve"> </w:t>
      </w:r>
      <w:r>
        <w:rPr>
          <w:rFonts w:ascii="Times New Roman" w:hAnsi="Times New Roman"/>
          <w:kern w:val="0"/>
          <w:szCs w:val="21"/>
        </w:rPr>
        <w:t>mmol/L乙酸铵溶液（</w:t>
      </w:r>
      <w:r>
        <w:rPr>
          <w:rFonts w:ascii="Times New Roman" w:hAnsi="Times New Roman"/>
          <w:szCs w:val="21"/>
        </w:rPr>
        <w:t>用氨水调节pH至8.0</w:t>
      </w:r>
      <w:r>
        <w:rPr>
          <w:rFonts w:ascii="Times New Roman" w:hAnsi="Times New Roman"/>
          <w:kern w:val="0"/>
          <w:szCs w:val="21"/>
        </w:rPr>
        <w:t>）+30%乙腈。</w:t>
      </w:r>
    </w:p>
    <w:p>
      <w:pPr>
        <w:snapToGrid w:val="0"/>
        <w:spacing w:before="50" w:after="50" w:line="300" w:lineRule="auto"/>
        <w:rPr>
          <w:rFonts w:ascii="Times New Roman" w:hAnsi="Times New Roman"/>
          <w:szCs w:val="21"/>
        </w:rPr>
      </w:pPr>
      <w:r>
        <w:rPr>
          <w:rFonts w:ascii="Times New Roman" w:hAnsi="Times New Roman"/>
          <w:kern w:val="0"/>
          <w:szCs w:val="21"/>
        </w:rPr>
        <w:t>3.7  标准储备溶液：</w:t>
      </w:r>
      <w:r>
        <w:rPr>
          <w:rFonts w:ascii="Times New Roman" w:hAnsi="Times New Roman"/>
          <w:szCs w:val="21"/>
        </w:rPr>
        <w:t>称</w:t>
      </w:r>
      <w:r>
        <w:rPr>
          <w:rFonts w:ascii="Times New Roman" w:hAnsi="Times New Roman"/>
          <w:kern w:val="0"/>
          <w:szCs w:val="21"/>
        </w:rPr>
        <w:t>4,4'-双[(4-苯胺基-6-羟乙基氨基-1,3,5-三嗪-2-基)氨基]二苯乙烯-2,2'-二磺酸二钠盐</w:t>
      </w:r>
      <w:r>
        <w:rPr>
          <w:rFonts w:ascii="Times New Roman" w:hAnsi="Times New Roman"/>
          <w:szCs w:val="21"/>
        </w:rPr>
        <w:t>、联苯乙烯二苯基二磺酸二钠、二乙氨基甲基香豆素、</w:t>
      </w:r>
      <w:r>
        <w:rPr>
          <w:rFonts w:ascii="Times New Roman" w:hAnsi="Times New Roman" w:eastAsiaTheme="minorEastAsia"/>
          <w:szCs w:val="21"/>
        </w:rPr>
        <w:t>二苯并噁唑基萘</w:t>
      </w:r>
      <w:r>
        <w:rPr>
          <w:rFonts w:ascii="Times New Roman" w:hAnsi="Times New Roman"/>
          <w:szCs w:val="21"/>
        </w:rPr>
        <w:t>、双（叔丁基苯并噁唑基）噻吩标准品各10</w:t>
      </w:r>
      <w:r>
        <w:rPr>
          <w:rFonts w:hint="eastAsia" w:ascii="Times New Roman" w:hAnsi="Times New Roman"/>
          <w:szCs w:val="21"/>
        </w:rPr>
        <w:t xml:space="preserve"> </w:t>
      </w:r>
      <w:r>
        <w:rPr>
          <w:rFonts w:ascii="Times New Roman" w:hAnsi="Times New Roman"/>
          <w:szCs w:val="21"/>
        </w:rPr>
        <w:t>mg（精确到0.00001</w:t>
      </w:r>
      <w:r>
        <w:rPr>
          <w:rFonts w:hint="eastAsia" w:ascii="Times New Roman" w:hAnsi="Times New Roman"/>
          <w:szCs w:val="21"/>
        </w:rPr>
        <w:t xml:space="preserve"> </w:t>
      </w:r>
      <w:r>
        <w:rPr>
          <w:rFonts w:ascii="Times New Roman" w:hAnsi="Times New Roman"/>
          <w:szCs w:val="21"/>
        </w:rPr>
        <w:t>g）分别置于50 mL容量瓶中，加</w:t>
      </w:r>
      <w:r>
        <w:rPr>
          <w:rFonts w:ascii="Times New Roman" w:hAnsi="Times New Roman"/>
          <w:kern w:val="0"/>
          <w:szCs w:val="21"/>
        </w:rPr>
        <w:t>N，N-二甲基甲酰胺</w:t>
      </w:r>
      <w:r>
        <w:rPr>
          <w:rFonts w:ascii="Times New Roman" w:hAnsi="Times New Roman"/>
          <w:szCs w:val="21"/>
        </w:rPr>
        <w:t>（3.4）使溶解并定容至刻度，摇匀，即得浓度分别为0.2</w:t>
      </w:r>
      <w:r>
        <w:rPr>
          <w:rFonts w:hint="eastAsia" w:ascii="Times New Roman" w:hAnsi="Times New Roman"/>
          <w:szCs w:val="21"/>
        </w:rPr>
        <w:t xml:space="preserve"> </w:t>
      </w:r>
      <w:r>
        <w:rPr>
          <w:rFonts w:ascii="Times New Roman" w:hAnsi="Times New Roman"/>
          <w:szCs w:val="21"/>
        </w:rPr>
        <w:t>mg/mL的各原料储备溶液。储备溶液避光保存于0</w:t>
      </w:r>
      <w:r>
        <w:rPr>
          <w:rFonts w:hint="eastAsia" w:ascii="Times New Roman" w:hAnsi="Times New Roman"/>
          <w:szCs w:val="21"/>
        </w:rPr>
        <w:t xml:space="preserve"> </w:t>
      </w:r>
      <w:r>
        <w:rPr>
          <w:rFonts w:hint="eastAsia" w:ascii="宋体" w:hAnsi="宋体" w:cs="宋体"/>
          <w:szCs w:val="21"/>
        </w:rPr>
        <w:t>℃</w:t>
      </w:r>
      <w:r>
        <w:rPr>
          <w:rFonts w:ascii="Times New Roman" w:hAnsi="Times New Roman"/>
          <w:szCs w:val="21"/>
        </w:rPr>
        <w:t>-4</w:t>
      </w:r>
      <w:r>
        <w:rPr>
          <w:rFonts w:hint="eastAsia" w:ascii="Times New Roman" w:hAnsi="Times New Roman"/>
          <w:szCs w:val="21"/>
        </w:rPr>
        <w:t xml:space="preserve"> </w:t>
      </w:r>
      <w:r>
        <w:rPr>
          <w:rFonts w:hint="eastAsia" w:ascii="宋体" w:hAnsi="宋体" w:cs="宋体"/>
          <w:szCs w:val="21"/>
        </w:rPr>
        <w:t>℃</w:t>
      </w:r>
      <w:r>
        <w:rPr>
          <w:rFonts w:ascii="Times New Roman" w:hAnsi="Times New Roman"/>
          <w:szCs w:val="21"/>
        </w:rPr>
        <w:t>冰箱中，应于2天内使用。</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分别精密量取</w:t>
      </w:r>
      <w:r>
        <w:rPr>
          <w:rFonts w:ascii="Times New Roman" w:hAnsi="Times New Roman"/>
          <w:kern w:val="0"/>
          <w:szCs w:val="21"/>
        </w:rPr>
        <w:t>4,4'-双[(4-苯胺基-6-羟乙基氨基-1,3,5-三嗪-2-基)氨基]二苯乙烯-2,2'-二磺酸二钠盐</w:t>
      </w:r>
      <w:r>
        <w:rPr>
          <w:rFonts w:ascii="Times New Roman" w:hAnsi="Times New Roman"/>
          <w:szCs w:val="21"/>
        </w:rPr>
        <w:t>储备溶液5.00</w:t>
      </w:r>
      <w:r>
        <w:rPr>
          <w:rFonts w:hint="eastAsia" w:ascii="Times New Roman" w:hAnsi="Times New Roman"/>
          <w:szCs w:val="21"/>
        </w:rPr>
        <w:t xml:space="preserve"> </w:t>
      </w:r>
      <w:r>
        <w:rPr>
          <w:rFonts w:ascii="Times New Roman" w:hAnsi="Times New Roman"/>
          <w:szCs w:val="21"/>
        </w:rPr>
        <w:t>mL、联苯乙烯二苯基二磺酸二钠、二乙氨基甲基香豆素、</w:t>
      </w:r>
      <w:r>
        <w:rPr>
          <w:rFonts w:ascii="Times New Roman" w:hAnsi="Times New Roman" w:eastAsiaTheme="minorEastAsia"/>
          <w:szCs w:val="21"/>
        </w:rPr>
        <w:t>二苯并噁唑基萘</w:t>
      </w:r>
      <w:r>
        <w:rPr>
          <w:rFonts w:ascii="Times New Roman" w:hAnsi="Times New Roman"/>
          <w:szCs w:val="21"/>
        </w:rPr>
        <w:t>、双（叔丁基苯并噁唑基）噻吩储备溶液各0.50</w:t>
      </w:r>
      <w:r>
        <w:rPr>
          <w:rFonts w:hint="eastAsia" w:ascii="Times New Roman" w:hAnsi="Times New Roman"/>
          <w:szCs w:val="21"/>
        </w:rPr>
        <w:t xml:space="preserve"> </w:t>
      </w:r>
      <w:r>
        <w:rPr>
          <w:rFonts w:ascii="Times New Roman" w:hAnsi="Times New Roman"/>
          <w:szCs w:val="21"/>
        </w:rPr>
        <w:t>mL置于同一100 mL容量瓶中，加N，N-二甲基甲酰胺（3.4）稀释至刻度，摇匀，再精密量取上述溶液2.5 mL置于50 mL容量瓶，加混合溶剂（3.6）稀释至刻度，摇匀，即得混合标准储备溶液。混合标准储备溶液避光保存于0</w:t>
      </w:r>
      <w:r>
        <w:rPr>
          <w:rFonts w:hint="eastAsia" w:ascii="Times New Roman" w:hAnsi="Times New Roman"/>
          <w:szCs w:val="21"/>
        </w:rPr>
        <w:t xml:space="preserve"> </w:t>
      </w:r>
      <w:r>
        <w:rPr>
          <w:rFonts w:hint="eastAsia" w:ascii="宋体" w:hAnsi="宋体" w:cs="宋体"/>
          <w:szCs w:val="21"/>
        </w:rPr>
        <w:t>℃</w:t>
      </w:r>
      <w:r>
        <w:rPr>
          <w:rFonts w:ascii="Times New Roman" w:hAnsi="Times New Roman"/>
          <w:szCs w:val="21"/>
        </w:rPr>
        <w:t>-4</w:t>
      </w:r>
      <w:r>
        <w:rPr>
          <w:rFonts w:hint="eastAsia" w:ascii="Times New Roman" w:hAnsi="Times New Roman"/>
          <w:szCs w:val="21"/>
        </w:rPr>
        <w:t xml:space="preserve"> </w:t>
      </w:r>
      <w:r>
        <w:rPr>
          <w:rFonts w:hint="eastAsia" w:ascii="宋体" w:hAnsi="宋体" w:cs="宋体"/>
          <w:szCs w:val="21"/>
        </w:rPr>
        <w:t>℃</w:t>
      </w:r>
      <w:r>
        <w:rPr>
          <w:rFonts w:ascii="Times New Roman" w:hAnsi="Times New Roman"/>
          <w:szCs w:val="21"/>
        </w:rPr>
        <w:t>冰箱中，应于2天内使用。</w:t>
      </w:r>
    </w:p>
    <w:p>
      <w:pPr>
        <w:snapToGrid w:val="0"/>
        <w:spacing w:before="156" w:beforeLines="50" w:after="156" w:afterLines="50" w:line="300" w:lineRule="auto"/>
        <w:rPr>
          <w:rFonts w:ascii="Times New Roman" w:hAnsi="Times New Roman" w:eastAsia="黑体"/>
          <w:szCs w:val="21"/>
        </w:rPr>
      </w:pPr>
      <w:r>
        <w:rPr>
          <w:rFonts w:ascii="Times New Roman" w:hAnsi="Times New Roman" w:eastAsia="黑体"/>
          <w:szCs w:val="21"/>
        </w:rPr>
        <w:t xml:space="preserve">4 </w:t>
      </w:r>
      <w:r>
        <w:rPr>
          <w:rFonts w:hint="eastAsia" w:ascii="Times New Roman" w:hAnsi="Times New Roman" w:eastAsia="黑体"/>
          <w:szCs w:val="21"/>
        </w:rPr>
        <w:t xml:space="preserve"> </w:t>
      </w:r>
      <w:r>
        <w:rPr>
          <w:rFonts w:ascii="Times New Roman" w:hAnsi="Times New Roman" w:eastAsia="黑体"/>
          <w:szCs w:val="21"/>
        </w:rPr>
        <w:t>仪器和设备</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4.1 </w:t>
      </w:r>
      <w:r>
        <w:rPr>
          <w:rFonts w:hint="eastAsia" w:ascii="Times New Roman" w:hAnsi="Times New Roman"/>
          <w:szCs w:val="21"/>
        </w:rPr>
        <w:t xml:space="preserve"> </w:t>
      </w:r>
      <w:r>
        <w:rPr>
          <w:rFonts w:ascii="Times New Roman" w:hAnsi="Times New Roman"/>
          <w:szCs w:val="21"/>
        </w:rPr>
        <w:t>高效液相色谱仪，荧光检测器。</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4.2 </w:t>
      </w:r>
      <w:r>
        <w:rPr>
          <w:rFonts w:hint="eastAsia" w:ascii="Times New Roman" w:hAnsi="Times New Roman"/>
          <w:szCs w:val="21"/>
        </w:rPr>
        <w:t xml:space="preserve"> </w:t>
      </w:r>
      <w:r>
        <w:rPr>
          <w:rFonts w:ascii="Times New Roman" w:hAnsi="Times New Roman"/>
          <w:szCs w:val="21"/>
        </w:rPr>
        <w:t>液相色谱-串联四级杆质谱联用仪。</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4.3 </w:t>
      </w:r>
      <w:r>
        <w:rPr>
          <w:rFonts w:hint="eastAsia" w:ascii="Times New Roman" w:hAnsi="Times New Roman"/>
          <w:szCs w:val="21"/>
        </w:rPr>
        <w:t xml:space="preserve"> </w:t>
      </w:r>
      <w:r>
        <w:rPr>
          <w:rFonts w:ascii="Times New Roman" w:hAnsi="Times New Roman"/>
          <w:szCs w:val="21"/>
        </w:rPr>
        <w:t>天平。</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4.4 </w:t>
      </w:r>
      <w:r>
        <w:rPr>
          <w:rFonts w:hint="eastAsia" w:ascii="Times New Roman" w:hAnsi="Times New Roman"/>
          <w:szCs w:val="21"/>
        </w:rPr>
        <w:t xml:space="preserve"> </w:t>
      </w:r>
      <w:r>
        <w:rPr>
          <w:rFonts w:ascii="Times New Roman" w:hAnsi="Times New Roman"/>
          <w:szCs w:val="21"/>
        </w:rPr>
        <w:t>超声波清洗仪。</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4.5 </w:t>
      </w:r>
      <w:r>
        <w:rPr>
          <w:rFonts w:hint="eastAsia" w:ascii="Times New Roman" w:hAnsi="Times New Roman"/>
          <w:szCs w:val="21"/>
        </w:rPr>
        <w:t xml:space="preserve"> </w:t>
      </w:r>
      <w:r>
        <w:rPr>
          <w:rFonts w:ascii="Times New Roman" w:hAnsi="Times New Roman"/>
          <w:szCs w:val="21"/>
        </w:rPr>
        <w:t>高速离心机。</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4.6 </w:t>
      </w:r>
      <w:r>
        <w:rPr>
          <w:rFonts w:hint="eastAsia" w:ascii="Times New Roman" w:hAnsi="Times New Roman"/>
          <w:szCs w:val="21"/>
        </w:rPr>
        <w:t xml:space="preserve"> </w:t>
      </w:r>
      <w:r>
        <w:rPr>
          <w:rFonts w:ascii="Times New Roman" w:hAnsi="Times New Roman"/>
          <w:szCs w:val="21"/>
        </w:rPr>
        <w:t>涡旋振荡器。</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4.7 </w:t>
      </w:r>
      <w:r>
        <w:rPr>
          <w:rFonts w:hint="eastAsia" w:ascii="Times New Roman" w:hAnsi="Times New Roman"/>
          <w:szCs w:val="21"/>
        </w:rPr>
        <w:t xml:space="preserve"> </w:t>
      </w:r>
      <w:r>
        <w:rPr>
          <w:rFonts w:ascii="Times New Roman" w:hAnsi="Times New Roman"/>
          <w:szCs w:val="21"/>
        </w:rPr>
        <w:t>pH计：精度0.01。</w:t>
      </w:r>
    </w:p>
    <w:p>
      <w:pPr>
        <w:snapToGrid w:val="0"/>
        <w:spacing w:before="156" w:beforeLines="50" w:after="156" w:afterLines="50" w:line="300" w:lineRule="auto"/>
        <w:rPr>
          <w:rFonts w:ascii="Times New Roman" w:hAnsi="Times New Roman" w:eastAsia="黑体"/>
          <w:szCs w:val="21"/>
        </w:rPr>
      </w:pPr>
      <w:r>
        <w:rPr>
          <w:rFonts w:ascii="Times New Roman" w:hAnsi="Times New Roman" w:eastAsia="黑体"/>
          <w:szCs w:val="21"/>
        </w:rPr>
        <w:t xml:space="preserve">5 </w:t>
      </w:r>
      <w:r>
        <w:rPr>
          <w:rFonts w:hint="eastAsia" w:ascii="Times New Roman" w:hAnsi="Times New Roman" w:eastAsia="黑体"/>
          <w:szCs w:val="21"/>
        </w:rPr>
        <w:t xml:space="preserve"> </w:t>
      </w:r>
      <w:r>
        <w:rPr>
          <w:rFonts w:ascii="Times New Roman" w:hAnsi="Times New Roman" w:eastAsia="黑体"/>
          <w:szCs w:val="21"/>
        </w:rPr>
        <w:t>分析步骤</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5.1 </w:t>
      </w:r>
      <w:r>
        <w:rPr>
          <w:rFonts w:hint="eastAsia" w:ascii="Times New Roman" w:hAnsi="Times New Roman"/>
          <w:szCs w:val="21"/>
        </w:rPr>
        <w:t xml:space="preserve"> </w:t>
      </w:r>
      <w:r>
        <w:rPr>
          <w:rFonts w:ascii="Times New Roman" w:hAnsi="Times New Roman"/>
          <w:szCs w:val="21"/>
        </w:rPr>
        <w:t>混合标准系列溶液的制备</w:t>
      </w:r>
    </w:p>
    <w:p>
      <w:pPr>
        <w:snapToGrid w:val="0"/>
        <w:spacing w:before="50" w:after="50" w:line="300" w:lineRule="auto"/>
        <w:ind w:firstLine="480"/>
        <w:rPr>
          <w:rFonts w:ascii="Times New Roman" w:hAnsi="Times New Roman"/>
          <w:kern w:val="0"/>
          <w:szCs w:val="21"/>
        </w:rPr>
      </w:pPr>
      <w:r>
        <w:rPr>
          <w:rFonts w:ascii="Times New Roman" w:hAnsi="Times New Roman"/>
          <w:kern w:val="0"/>
          <w:szCs w:val="21"/>
        </w:rPr>
        <w:t>取混合标准储备液（3.7）0.20 mL、0.40 mL、1.00 mL、2.00 mL、4.00 mL、10.00</w:t>
      </w:r>
      <w:r>
        <w:rPr>
          <w:rFonts w:hint="eastAsia" w:ascii="Times New Roman" w:hAnsi="Times New Roman"/>
          <w:kern w:val="0"/>
          <w:szCs w:val="21"/>
        </w:rPr>
        <w:t xml:space="preserve"> </w:t>
      </w:r>
      <w:r>
        <w:rPr>
          <w:rFonts w:ascii="Times New Roman" w:hAnsi="Times New Roman"/>
          <w:kern w:val="0"/>
          <w:szCs w:val="21"/>
        </w:rPr>
        <w:t>mL于10 mL容量瓶中，用混合溶剂（3.6）稀释至刻度，制得混合标准系列溶液。</w:t>
      </w:r>
    </w:p>
    <w:p>
      <w:pPr>
        <w:snapToGrid w:val="0"/>
        <w:spacing w:before="156" w:beforeLines="50" w:after="156" w:afterLines="50" w:line="300" w:lineRule="auto"/>
        <w:rPr>
          <w:rFonts w:ascii="Times New Roman" w:hAnsi="Times New Roman"/>
          <w:kern w:val="0"/>
          <w:szCs w:val="21"/>
        </w:rPr>
      </w:pPr>
      <w:r>
        <w:rPr>
          <w:rFonts w:ascii="Times New Roman" w:hAnsi="Times New Roman"/>
          <w:kern w:val="0"/>
          <w:szCs w:val="21"/>
        </w:rPr>
        <w:t xml:space="preserve">5.2 </w:t>
      </w:r>
      <w:r>
        <w:rPr>
          <w:rFonts w:hint="eastAsia" w:ascii="Times New Roman" w:hAnsi="Times New Roman"/>
          <w:kern w:val="0"/>
          <w:szCs w:val="21"/>
        </w:rPr>
        <w:t xml:space="preserve"> </w:t>
      </w:r>
      <w:r>
        <w:rPr>
          <w:rFonts w:ascii="Times New Roman" w:hAnsi="Times New Roman"/>
          <w:kern w:val="0"/>
          <w:szCs w:val="21"/>
        </w:rPr>
        <w:t>样品处理</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称取样品0.5 g（精确到0.001 g），置于10mL具塞比色管中，加入</w:t>
      </w:r>
      <w:r>
        <w:rPr>
          <w:rFonts w:ascii="Times New Roman" w:hAnsi="Times New Roman"/>
          <w:kern w:val="0"/>
          <w:szCs w:val="21"/>
        </w:rPr>
        <w:t>N，N-二甲基甲酰胺（3.4）</w:t>
      </w:r>
      <w:r>
        <w:rPr>
          <w:rFonts w:ascii="Times New Roman" w:hAnsi="Times New Roman"/>
          <w:szCs w:val="21"/>
        </w:rPr>
        <w:t>定容至刻度，涡旋60</w:t>
      </w:r>
      <w:r>
        <w:rPr>
          <w:rFonts w:hint="eastAsia" w:ascii="Times New Roman" w:hAnsi="Times New Roman"/>
          <w:szCs w:val="21"/>
        </w:rPr>
        <w:t xml:space="preserve"> </w:t>
      </w:r>
      <w:r>
        <w:rPr>
          <w:rFonts w:ascii="Times New Roman" w:hAnsi="Times New Roman"/>
          <w:szCs w:val="21"/>
        </w:rPr>
        <w:t>s，混匀，超声提取20</w:t>
      </w:r>
      <w:r>
        <w:rPr>
          <w:rFonts w:hint="eastAsia" w:ascii="Times New Roman" w:hAnsi="Times New Roman"/>
          <w:szCs w:val="21"/>
        </w:rPr>
        <w:t xml:space="preserve"> </w:t>
      </w:r>
      <w:r>
        <w:rPr>
          <w:rFonts w:ascii="Times New Roman" w:hAnsi="Times New Roman"/>
          <w:szCs w:val="21"/>
        </w:rPr>
        <w:t>min，以10000 r/min离心10</w:t>
      </w:r>
      <w:r>
        <w:rPr>
          <w:rFonts w:hint="eastAsia" w:ascii="Times New Roman" w:hAnsi="Times New Roman"/>
          <w:szCs w:val="21"/>
        </w:rPr>
        <w:t xml:space="preserve"> </w:t>
      </w:r>
      <w:r>
        <w:rPr>
          <w:rFonts w:ascii="Times New Roman" w:hAnsi="Times New Roman"/>
          <w:szCs w:val="21"/>
        </w:rPr>
        <w:t>min，精密量取上清液0.50</w:t>
      </w:r>
      <w:r>
        <w:rPr>
          <w:rFonts w:hint="eastAsia" w:ascii="Times New Roman" w:hAnsi="Times New Roman"/>
          <w:szCs w:val="21"/>
        </w:rPr>
        <w:t xml:space="preserve"> </w:t>
      </w:r>
      <w:r>
        <w:rPr>
          <w:rFonts w:ascii="Times New Roman" w:hAnsi="Times New Roman"/>
          <w:szCs w:val="21"/>
        </w:rPr>
        <w:t>mL于10</w:t>
      </w:r>
      <w:r>
        <w:rPr>
          <w:rFonts w:hint="eastAsia" w:ascii="Times New Roman" w:hAnsi="Times New Roman"/>
          <w:szCs w:val="21"/>
        </w:rPr>
        <w:t xml:space="preserve"> </w:t>
      </w:r>
      <w:r>
        <w:rPr>
          <w:rFonts w:ascii="Times New Roman" w:hAnsi="Times New Roman"/>
          <w:szCs w:val="21"/>
        </w:rPr>
        <w:t>mL具塞比色管中，加混合溶剂（3.6）定容至刻度，作为待测溶液，避光保存于0</w:t>
      </w:r>
      <w:r>
        <w:rPr>
          <w:rFonts w:hint="eastAsia" w:ascii="Times New Roman" w:hAnsi="Times New Roman"/>
          <w:szCs w:val="21"/>
        </w:rPr>
        <w:t xml:space="preserve"> </w:t>
      </w:r>
      <w:r>
        <w:rPr>
          <w:rFonts w:hint="eastAsia" w:ascii="宋体" w:hAnsi="宋体" w:cs="宋体"/>
          <w:szCs w:val="21"/>
        </w:rPr>
        <w:t>℃</w:t>
      </w:r>
      <w:r>
        <w:rPr>
          <w:rFonts w:ascii="Times New Roman" w:hAnsi="Times New Roman"/>
          <w:szCs w:val="21"/>
        </w:rPr>
        <w:t>-4</w:t>
      </w:r>
      <w:r>
        <w:rPr>
          <w:rFonts w:hint="eastAsia" w:ascii="Times New Roman" w:hAnsi="Times New Roman"/>
          <w:szCs w:val="21"/>
        </w:rPr>
        <w:t xml:space="preserve"> </w:t>
      </w:r>
      <w:r>
        <w:rPr>
          <w:rFonts w:hint="eastAsia" w:ascii="宋体" w:hAnsi="宋体" w:cs="宋体"/>
          <w:szCs w:val="21"/>
        </w:rPr>
        <w:t>℃</w:t>
      </w:r>
      <w:r>
        <w:rPr>
          <w:rFonts w:ascii="Times New Roman" w:hAnsi="Times New Roman"/>
          <w:szCs w:val="21"/>
        </w:rPr>
        <w:t>冰箱中，应于1天内测定。</w:t>
      </w:r>
    </w:p>
    <w:p>
      <w:pPr>
        <w:snapToGrid w:val="0"/>
        <w:spacing w:before="50" w:after="50" w:line="300" w:lineRule="auto"/>
        <w:ind w:firstLine="420" w:firstLineChars="200"/>
        <w:rPr>
          <w:rFonts w:ascii="Times New Roman" w:hAnsi="Times New Roman"/>
          <w:szCs w:val="21"/>
        </w:rPr>
      </w:pPr>
      <w:r>
        <w:rPr>
          <w:rFonts w:ascii="Times New Roman" w:hAnsi="Times New Roman"/>
          <w:kern w:val="0"/>
          <w:szCs w:val="21"/>
        </w:rPr>
        <w:t>注：（1） 面膜类样品只取内容物。（2）</w:t>
      </w:r>
      <w:r>
        <w:rPr>
          <w:rFonts w:ascii="Times New Roman" w:hAnsi="Times New Roman" w:eastAsiaTheme="minorEastAsia"/>
          <w:szCs w:val="21"/>
        </w:rPr>
        <w:t>高浓度的</w:t>
      </w:r>
      <w:r>
        <w:rPr>
          <w:rFonts w:ascii="Times New Roman" w:hAnsi="Times New Roman"/>
          <w:szCs w:val="21"/>
        </w:rPr>
        <w:t>联苯乙烯二苯基二磺酸二钠</w:t>
      </w:r>
      <w:r>
        <w:rPr>
          <w:rFonts w:ascii="Times New Roman" w:hAnsi="Times New Roman" w:eastAsiaTheme="minorEastAsia"/>
          <w:szCs w:val="21"/>
        </w:rPr>
        <w:t>会对高效液相进样系统产生污染，在实验之前可对样品进行预实验，即在紫外灯366</w:t>
      </w:r>
      <w:r>
        <w:rPr>
          <w:rFonts w:hint="eastAsia" w:ascii="Times New Roman" w:hAnsi="Times New Roman" w:eastAsiaTheme="minorEastAsia"/>
          <w:szCs w:val="21"/>
        </w:rPr>
        <w:t xml:space="preserve"> </w:t>
      </w:r>
      <w:r>
        <w:rPr>
          <w:rFonts w:ascii="Times New Roman" w:hAnsi="Times New Roman" w:eastAsiaTheme="minorEastAsia"/>
          <w:szCs w:val="21"/>
        </w:rPr>
        <w:t>nm处，观察荧光情况，如荧光强度高，则在进样前做稀释处理。</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5.3 </w:t>
      </w:r>
      <w:r>
        <w:rPr>
          <w:rFonts w:hint="eastAsia" w:ascii="Times New Roman" w:hAnsi="Times New Roman"/>
          <w:szCs w:val="21"/>
        </w:rPr>
        <w:t xml:space="preserve"> </w:t>
      </w:r>
      <w:r>
        <w:rPr>
          <w:rFonts w:ascii="Times New Roman" w:hAnsi="Times New Roman"/>
          <w:szCs w:val="21"/>
        </w:rPr>
        <w:t>参考色谱条件</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色谱柱：C</w:t>
      </w:r>
      <w:r>
        <w:rPr>
          <w:rFonts w:ascii="Times New Roman" w:hAnsi="Times New Roman"/>
          <w:szCs w:val="21"/>
          <w:vertAlign w:val="subscript"/>
        </w:rPr>
        <w:t>18</w:t>
      </w:r>
      <w:r>
        <w:rPr>
          <w:rFonts w:ascii="Times New Roman" w:hAnsi="Times New Roman"/>
          <w:szCs w:val="21"/>
        </w:rPr>
        <w:t xml:space="preserve">柱（4.6 mm×250 mm，5 </w:t>
      </w:r>
      <w:r>
        <w:rPr>
          <w:rFonts w:ascii="Times New Roman" w:hAnsi="Times New Roman"/>
          <w:szCs w:val="21"/>
        </w:rPr>
        <w:sym w:font="Symbol" w:char="F06D"/>
      </w:r>
      <w:r>
        <w:rPr>
          <w:rFonts w:ascii="Times New Roman" w:hAnsi="Times New Roman"/>
          <w:szCs w:val="21"/>
        </w:rPr>
        <w:t>m），或等效色谱柱；</w:t>
      </w:r>
    </w:p>
    <w:p>
      <w:pPr>
        <w:snapToGrid w:val="0"/>
        <w:spacing w:before="156" w:beforeLines="50" w:after="156" w:afterLines="50" w:line="300" w:lineRule="auto"/>
        <w:ind w:firstLine="420" w:firstLineChars="200"/>
        <w:jc w:val="center"/>
        <w:rPr>
          <w:rFonts w:ascii="Times New Roman" w:hAnsi="Times New Roman" w:eastAsia="黑体"/>
          <w:szCs w:val="21"/>
        </w:rPr>
      </w:pPr>
      <w:r>
        <w:rPr>
          <w:rFonts w:ascii="Times New Roman" w:hAnsi="Times New Roman" w:eastAsia="黑体"/>
          <w:szCs w:val="21"/>
        </w:rPr>
        <w:t>表2 流动相梯度洗脱程序</w:t>
      </w:r>
    </w:p>
    <w:tbl>
      <w:tblPr>
        <w:tblStyle w:val="15"/>
        <w:tblW w:w="6017" w:type="dxa"/>
        <w:jc w:val="center"/>
        <w:tblInd w:w="0" w:type="dxa"/>
        <w:tblLayout w:type="fixed"/>
        <w:tblCellMar>
          <w:top w:w="0" w:type="dxa"/>
          <w:left w:w="108" w:type="dxa"/>
          <w:bottom w:w="0" w:type="dxa"/>
          <w:right w:w="108" w:type="dxa"/>
        </w:tblCellMar>
      </w:tblPr>
      <w:tblGrid>
        <w:gridCol w:w="1654"/>
        <w:gridCol w:w="2485"/>
        <w:gridCol w:w="1878"/>
      </w:tblGrid>
      <w:tr>
        <w:tblPrEx>
          <w:tblLayout w:type="fixed"/>
          <w:tblCellMar>
            <w:top w:w="0" w:type="dxa"/>
            <w:left w:w="108" w:type="dxa"/>
            <w:bottom w:w="0" w:type="dxa"/>
            <w:right w:w="108" w:type="dxa"/>
          </w:tblCellMar>
        </w:tblPrEx>
        <w:trPr>
          <w:trHeight w:val="296" w:hRule="atLeast"/>
          <w:jc w:val="center"/>
        </w:trPr>
        <w:tc>
          <w:tcPr>
            <w:tcW w:w="1654" w:type="dxa"/>
            <w:tcBorders>
              <w:top w:val="single" w:color="auto" w:sz="2" w:space="0"/>
              <w:left w:val="nil"/>
              <w:bottom w:val="single" w:color="000000" w:sz="6" w:space="0"/>
              <w:right w:val="nil"/>
            </w:tcBorders>
            <w:vAlign w:val="center"/>
          </w:tcPr>
          <w:p>
            <w:pPr>
              <w:spacing w:line="300" w:lineRule="auto"/>
              <w:jc w:val="center"/>
              <w:rPr>
                <w:rFonts w:ascii="Times New Roman" w:hAnsi="Times New Roman"/>
                <w:szCs w:val="21"/>
              </w:rPr>
            </w:pPr>
            <w:r>
              <w:rPr>
                <w:rFonts w:ascii="Times New Roman" w:hAnsi="Times New Roman"/>
                <w:szCs w:val="21"/>
              </w:rPr>
              <w:t>时间/min</w:t>
            </w:r>
          </w:p>
        </w:tc>
        <w:tc>
          <w:tcPr>
            <w:tcW w:w="2485" w:type="dxa"/>
            <w:tcBorders>
              <w:top w:val="single" w:color="auto" w:sz="2" w:space="0"/>
              <w:left w:val="nil"/>
              <w:bottom w:val="single" w:color="000000" w:sz="6" w:space="0"/>
              <w:right w:val="nil"/>
            </w:tcBorders>
            <w:vAlign w:val="center"/>
          </w:tcPr>
          <w:p>
            <w:pPr>
              <w:spacing w:line="300" w:lineRule="auto"/>
              <w:jc w:val="center"/>
              <w:rPr>
                <w:rFonts w:ascii="Times New Roman" w:hAnsi="Times New Roman"/>
                <w:szCs w:val="21"/>
              </w:rPr>
            </w:pPr>
            <w:r>
              <w:rPr>
                <w:rFonts w:ascii="Times New Roman" w:hAnsi="Times New Roman"/>
                <w:szCs w:val="21"/>
              </w:rPr>
              <w:t>V(流动相A）/%</w:t>
            </w:r>
          </w:p>
        </w:tc>
        <w:tc>
          <w:tcPr>
            <w:tcW w:w="1878" w:type="dxa"/>
            <w:tcBorders>
              <w:top w:val="single" w:color="auto" w:sz="2" w:space="0"/>
              <w:left w:val="nil"/>
              <w:bottom w:val="single" w:color="000000" w:sz="6" w:space="0"/>
              <w:right w:val="nil"/>
            </w:tcBorders>
            <w:vAlign w:val="center"/>
          </w:tcPr>
          <w:p>
            <w:pPr>
              <w:spacing w:line="300" w:lineRule="auto"/>
              <w:jc w:val="center"/>
              <w:rPr>
                <w:rFonts w:ascii="Times New Roman" w:hAnsi="Times New Roman"/>
                <w:szCs w:val="21"/>
              </w:rPr>
            </w:pPr>
            <w:r>
              <w:rPr>
                <w:rFonts w:ascii="Times New Roman" w:hAnsi="Times New Roman"/>
                <w:szCs w:val="21"/>
              </w:rPr>
              <w:t>V(流动相B）/%</w:t>
            </w:r>
          </w:p>
        </w:tc>
      </w:tr>
      <w:tr>
        <w:tblPrEx>
          <w:tblLayout w:type="fixed"/>
          <w:tblCellMar>
            <w:top w:w="0" w:type="dxa"/>
            <w:left w:w="108" w:type="dxa"/>
            <w:bottom w:w="0" w:type="dxa"/>
            <w:right w:w="108" w:type="dxa"/>
          </w:tblCellMar>
        </w:tblPrEx>
        <w:trPr>
          <w:trHeight w:val="305" w:hRule="atLeast"/>
          <w:jc w:val="center"/>
        </w:trPr>
        <w:tc>
          <w:tcPr>
            <w:tcW w:w="1654" w:type="dxa"/>
            <w:tcBorders>
              <w:top w:val="single" w:color="000000" w:sz="6" w:space="0"/>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0.00</w:t>
            </w:r>
          </w:p>
        </w:tc>
        <w:tc>
          <w:tcPr>
            <w:tcW w:w="2485" w:type="dxa"/>
            <w:tcBorders>
              <w:top w:val="single" w:color="000000" w:sz="6" w:space="0"/>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70</w:t>
            </w:r>
          </w:p>
        </w:tc>
        <w:tc>
          <w:tcPr>
            <w:tcW w:w="1878" w:type="dxa"/>
            <w:tcBorders>
              <w:top w:val="single" w:color="000000" w:sz="6" w:space="0"/>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30</w:t>
            </w:r>
          </w:p>
        </w:tc>
      </w:tr>
      <w:tr>
        <w:tblPrEx>
          <w:tblLayout w:type="fixed"/>
          <w:tblCellMar>
            <w:top w:w="0" w:type="dxa"/>
            <w:left w:w="108" w:type="dxa"/>
            <w:bottom w:w="0" w:type="dxa"/>
            <w:right w:w="108" w:type="dxa"/>
          </w:tblCellMar>
        </w:tblPrEx>
        <w:trPr>
          <w:trHeight w:val="305" w:hRule="atLeast"/>
          <w:jc w:val="center"/>
        </w:trPr>
        <w:tc>
          <w:tcPr>
            <w:tcW w:w="1654" w:type="dxa"/>
            <w:vAlign w:val="center"/>
          </w:tcPr>
          <w:p>
            <w:pPr>
              <w:spacing w:line="300" w:lineRule="auto"/>
              <w:jc w:val="center"/>
              <w:rPr>
                <w:rFonts w:ascii="Times New Roman" w:hAnsi="Times New Roman"/>
                <w:szCs w:val="21"/>
              </w:rPr>
            </w:pPr>
            <w:r>
              <w:rPr>
                <w:rFonts w:ascii="Times New Roman" w:hAnsi="Times New Roman"/>
                <w:szCs w:val="21"/>
              </w:rPr>
              <w:t>10.00</w:t>
            </w:r>
          </w:p>
        </w:tc>
        <w:tc>
          <w:tcPr>
            <w:tcW w:w="2485" w:type="dxa"/>
            <w:vAlign w:val="center"/>
          </w:tcPr>
          <w:p>
            <w:pPr>
              <w:spacing w:line="300" w:lineRule="auto"/>
              <w:jc w:val="center"/>
              <w:rPr>
                <w:rFonts w:ascii="Times New Roman" w:hAnsi="Times New Roman"/>
                <w:szCs w:val="21"/>
              </w:rPr>
            </w:pPr>
            <w:r>
              <w:rPr>
                <w:rFonts w:ascii="Times New Roman" w:hAnsi="Times New Roman"/>
                <w:szCs w:val="21"/>
              </w:rPr>
              <w:t>70</w:t>
            </w:r>
          </w:p>
        </w:tc>
        <w:tc>
          <w:tcPr>
            <w:tcW w:w="1878" w:type="dxa"/>
            <w:vAlign w:val="center"/>
          </w:tcPr>
          <w:p>
            <w:pPr>
              <w:spacing w:line="300" w:lineRule="auto"/>
              <w:jc w:val="center"/>
              <w:rPr>
                <w:rFonts w:ascii="Times New Roman" w:hAnsi="Times New Roman"/>
                <w:szCs w:val="21"/>
              </w:rPr>
            </w:pPr>
            <w:r>
              <w:rPr>
                <w:rFonts w:ascii="Times New Roman" w:hAnsi="Times New Roman"/>
                <w:szCs w:val="21"/>
              </w:rPr>
              <w:t>30</w:t>
            </w:r>
          </w:p>
        </w:tc>
      </w:tr>
      <w:tr>
        <w:tblPrEx>
          <w:tblLayout w:type="fixed"/>
          <w:tblCellMar>
            <w:top w:w="0" w:type="dxa"/>
            <w:left w:w="108" w:type="dxa"/>
            <w:bottom w:w="0" w:type="dxa"/>
            <w:right w:w="108" w:type="dxa"/>
          </w:tblCellMar>
        </w:tblPrEx>
        <w:trPr>
          <w:trHeight w:val="296" w:hRule="atLeast"/>
          <w:jc w:val="center"/>
        </w:trPr>
        <w:tc>
          <w:tcPr>
            <w:tcW w:w="1654" w:type="dxa"/>
            <w:vAlign w:val="center"/>
          </w:tcPr>
          <w:p>
            <w:pPr>
              <w:spacing w:line="300" w:lineRule="auto"/>
              <w:jc w:val="center"/>
              <w:rPr>
                <w:rFonts w:ascii="Times New Roman" w:hAnsi="Times New Roman"/>
                <w:szCs w:val="21"/>
              </w:rPr>
            </w:pPr>
            <w:r>
              <w:rPr>
                <w:rFonts w:ascii="Times New Roman" w:hAnsi="Times New Roman"/>
                <w:szCs w:val="21"/>
              </w:rPr>
              <w:t>16.00</w:t>
            </w:r>
          </w:p>
        </w:tc>
        <w:tc>
          <w:tcPr>
            <w:tcW w:w="2485" w:type="dxa"/>
            <w:vAlign w:val="center"/>
          </w:tcPr>
          <w:p>
            <w:pPr>
              <w:spacing w:line="300" w:lineRule="auto"/>
              <w:jc w:val="center"/>
              <w:rPr>
                <w:rFonts w:ascii="Times New Roman" w:hAnsi="Times New Roman"/>
                <w:szCs w:val="21"/>
              </w:rPr>
            </w:pPr>
            <w:r>
              <w:rPr>
                <w:rFonts w:ascii="Times New Roman" w:hAnsi="Times New Roman"/>
                <w:szCs w:val="21"/>
              </w:rPr>
              <w:t>10</w:t>
            </w:r>
          </w:p>
        </w:tc>
        <w:tc>
          <w:tcPr>
            <w:tcW w:w="1878" w:type="dxa"/>
            <w:vAlign w:val="center"/>
          </w:tcPr>
          <w:p>
            <w:pPr>
              <w:spacing w:line="300" w:lineRule="auto"/>
              <w:jc w:val="center"/>
              <w:rPr>
                <w:rFonts w:ascii="Times New Roman" w:hAnsi="Times New Roman"/>
                <w:szCs w:val="21"/>
              </w:rPr>
            </w:pPr>
            <w:r>
              <w:rPr>
                <w:rFonts w:ascii="Times New Roman" w:hAnsi="Times New Roman"/>
                <w:szCs w:val="21"/>
              </w:rPr>
              <w:t>90</w:t>
            </w:r>
          </w:p>
        </w:tc>
      </w:tr>
      <w:tr>
        <w:tblPrEx>
          <w:tblLayout w:type="fixed"/>
        </w:tblPrEx>
        <w:trPr>
          <w:trHeight w:val="305" w:hRule="atLeast"/>
          <w:jc w:val="center"/>
        </w:trPr>
        <w:tc>
          <w:tcPr>
            <w:tcW w:w="1654" w:type="dxa"/>
            <w:vAlign w:val="center"/>
          </w:tcPr>
          <w:p>
            <w:pPr>
              <w:spacing w:line="300" w:lineRule="auto"/>
              <w:jc w:val="center"/>
              <w:rPr>
                <w:rFonts w:ascii="Times New Roman" w:hAnsi="Times New Roman"/>
                <w:szCs w:val="21"/>
              </w:rPr>
            </w:pPr>
            <w:r>
              <w:rPr>
                <w:rFonts w:ascii="Times New Roman" w:hAnsi="Times New Roman"/>
                <w:szCs w:val="21"/>
              </w:rPr>
              <w:t>20.00</w:t>
            </w:r>
          </w:p>
        </w:tc>
        <w:tc>
          <w:tcPr>
            <w:tcW w:w="2485" w:type="dxa"/>
            <w:vAlign w:val="center"/>
          </w:tcPr>
          <w:p>
            <w:pPr>
              <w:spacing w:line="300" w:lineRule="auto"/>
              <w:jc w:val="center"/>
              <w:rPr>
                <w:rFonts w:ascii="Times New Roman" w:hAnsi="Times New Roman"/>
                <w:szCs w:val="21"/>
              </w:rPr>
            </w:pPr>
            <w:r>
              <w:rPr>
                <w:rFonts w:ascii="Times New Roman" w:hAnsi="Times New Roman"/>
                <w:szCs w:val="21"/>
              </w:rPr>
              <w:t>10</w:t>
            </w:r>
          </w:p>
        </w:tc>
        <w:tc>
          <w:tcPr>
            <w:tcW w:w="1878" w:type="dxa"/>
            <w:vAlign w:val="center"/>
          </w:tcPr>
          <w:p>
            <w:pPr>
              <w:spacing w:line="300" w:lineRule="auto"/>
              <w:jc w:val="center"/>
              <w:rPr>
                <w:rFonts w:ascii="Times New Roman" w:hAnsi="Times New Roman"/>
                <w:szCs w:val="21"/>
              </w:rPr>
            </w:pPr>
            <w:r>
              <w:rPr>
                <w:rFonts w:ascii="Times New Roman" w:hAnsi="Times New Roman"/>
                <w:szCs w:val="21"/>
              </w:rPr>
              <w:t>90</w:t>
            </w:r>
          </w:p>
        </w:tc>
      </w:tr>
      <w:tr>
        <w:tblPrEx>
          <w:tblLayout w:type="fixed"/>
          <w:tblCellMar>
            <w:top w:w="0" w:type="dxa"/>
            <w:left w:w="108" w:type="dxa"/>
            <w:bottom w:w="0" w:type="dxa"/>
            <w:right w:w="108" w:type="dxa"/>
          </w:tblCellMar>
        </w:tblPrEx>
        <w:trPr>
          <w:trHeight w:val="296" w:hRule="atLeast"/>
          <w:jc w:val="center"/>
        </w:trPr>
        <w:tc>
          <w:tcPr>
            <w:tcW w:w="1654" w:type="dxa"/>
            <w:vAlign w:val="center"/>
          </w:tcPr>
          <w:p>
            <w:pPr>
              <w:spacing w:line="300" w:lineRule="auto"/>
              <w:jc w:val="center"/>
              <w:rPr>
                <w:rFonts w:ascii="Times New Roman" w:hAnsi="Times New Roman"/>
                <w:szCs w:val="21"/>
              </w:rPr>
            </w:pPr>
            <w:r>
              <w:rPr>
                <w:rFonts w:ascii="Times New Roman" w:hAnsi="Times New Roman"/>
                <w:szCs w:val="21"/>
              </w:rPr>
              <w:t>20.01</w:t>
            </w:r>
          </w:p>
        </w:tc>
        <w:tc>
          <w:tcPr>
            <w:tcW w:w="2485" w:type="dxa"/>
            <w:vAlign w:val="center"/>
          </w:tcPr>
          <w:p>
            <w:pPr>
              <w:spacing w:line="300" w:lineRule="auto"/>
              <w:jc w:val="center"/>
              <w:rPr>
                <w:rFonts w:ascii="Times New Roman" w:hAnsi="Times New Roman"/>
                <w:szCs w:val="21"/>
              </w:rPr>
            </w:pPr>
            <w:r>
              <w:rPr>
                <w:rFonts w:ascii="Times New Roman" w:hAnsi="Times New Roman"/>
                <w:szCs w:val="21"/>
              </w:rPr>
              <w:t>2</w:t>
            </w:r>
          </w:p>
        </w:tc>
        <w:tc>
          <w:tcPr>
            <w:tcW w:w="1878" w:type="dxa"/>
            <w:vAlign w:val="center"/>
          </w:tcPr>
          <w:p>
            <w:pPr>
              <w:spacing w:line="300" w:lineRule="auto"/>
              <w:jc w:val="center"/>
              <w:rPr>
                <w:rFonts w:ascii="Times New Roman" w:hAnsi="Times New Roman"/>
                <w:szCs w:val="21"/>
              </w:rPr>
            </w:pPr>
            <w:r>
              <w:rPr>
                <w:rFonts w:ascii="Times New Roman" w:hAnsi="Times New Roman"/>
                <w:szCs w:val="21"/>
              </w:rPr>
              <w:t>98</w:t>
            </w:r>
          </w:p>
        </w:tc>
      </w:tr>
      <w:tr>
        <w:tblPrEx>
          <w:tblLayout w:type="fixed"/>
          <w:tblCellMar>
            <w:top w:w="0" w:type="dxa"/>
            <w:left w:w="108" w:type="dxa"/>
            <w:bottom w:w="0" w:type="dxa"/>
            <w:right w:w="108" w:type="dxa"/>
          </w:tblCellMar>
        </w:tblPrEx>
        <w:trPr>
          <w:trHeight w:val="305" w:hRule="atLeast"/>
          <w:jc w:val="center"/>
        </w:trPr>
        <w:tc>
          <w:tcPr>
            <w:tcW w:w="1654" w:type="dxa"/>
            <w:tcBorders>
              <w:top w:val="nil"/>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38.00</w:t>
            </w:r>
          </w:p>
        </w:tc>
        <w:tc>
          <w:tcPr>
            <w:tcW w:w="2485" w:type="dxa"/>
            <w:tcBorders>
              <w:top w:val="nil"/>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2</w:t>
            </w:r>
          </w:p>
        </w:tc>
        <w:tc>
          <w:tcPr>
            <w:tcW w:w="1878" w:type="dxa"/>
            <w:tcBorders>
              <w:top w:val="nil"/>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98</w:t>
            </w:r>
          </w:p>
        </w:tc>
      </w:tr>
      <w:tr>
        <w:tblPrEx>
          <w:tblLayout w:type="fixed"/>
          <w:tblCellMar>
            <w:top w:w="0" w:type="dxa"/>
            <w:left w:w="108" w:type="dxa"/>
            <w:bottom w:w="0" w:type="dxa"/>
            <w:right w:w="108" w:type="dxa"/>
          </w:tblCellMar>
        </w:tblPrEx>
        <w:trPr>
          <w:trHeight w:val="296" w:hRule="atLeast"/>
          <w:jc w:val="center"/>
        </w:trPr>
        <w:tc>
          <w:tcPr>
            <w:tcW w:w="1654" w:type="dxa"/>
            <w:tcBorders>
              <w:top w:val="nil"/>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40.00</w:t>
            </w:r>
          </w:p>
        </w:tc>
        <w:tc>
          <w:tcPr>
            <w:tcW w:w="2485" w:type="dxa"/>
            <w:tcBorders>
              <w:top w:val="nil"/>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70</w:t>
            </w:r>
          </w:p>
        </w:tc>
        <w:tc>
          <w:tcPr>
            <w:tcW w:w="1878" w:type="dxa"/>
            <w:tcBorders>
              <w:top w:val="nil"/>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30</w:t>
            </w:r>
          </w:p>
        </w:tc>
      </w:tr>
      <w:tr>
        <w:tblPrEx>
          <w:tblLayout w:type="fixed"/>
          <w:tblCellMar>
            <w:top w:w="0" w:type="dxa"/>
            <w:left w:w="108" w:type="dxa"/>
            <w:bottom w:w="0" w:type="dxa"/>
            <w:right w:w="108" w:type="dxa"/>
          </w:tblCellMar>
        </w:tblPrEx>
        <w:trPr>
          <w:trHeight w:val="305" w:hRule="atLeast"/>
          <w:jc w:val="center"/>
        </w:trPr>
        <w:tc>
          <w:tcPr>
            <w:tcW w:w="1654" w:type="dxa"/>
            <w:tcBorders>
              <w:top w:val="nil"/>
              <w:left w:val="nil"/>
              <w:bottom w:val="single" w:color="auto" w:sz="2" w:space="0"/>
              <w:right w:val="nil"/>
            </w:tcBorders>
            <w:vAlign w:val="center"/>
          </w:tcPr>
          <w:p>
            <w:pPr>
              <w:spacing w:line="300" w:lineRule="auto"/>
              <w:jc w:val="center"/>
              <w:rPr>
                <w:rFonts w:ascii="Times New Roman" w:hAnsi="Times New Roman"/>
                <w:szCs w:val="21"/>
              </w:rPr>
            </w:pPr>
            <w:r>
              <w:rPr>
                <w:rFonts w:ascii="Times New Roman" w:hAnsi="Times New Roman"/>
                <w:szCs w:val="21"/>
              </w:rPr>
              <w:t>45.00</w:t>
            </w:r>
          </w:p>
        </w:tc>
        <w:tc>
          <w:tcPr>
            <w:tcW w:w="2485" w:type="dxa"/>
            <w:tcBorders>
              <w:top w:val="nil"/>
              <w:left w:val="nil"/>
              <w:bottom w:val="single" w:color="auto" w:sz="2" w:space="0"/>
              <w:right w:val="nil"/>
            </w:tcBorders>
            <w:vAlign w:val="center"/>
          </w:tcPr>
          <w:p>
            <w:pPr>
              <w:spacing w:line="300" w:lineRule="auto"/>
              <w:jc w:val="center"/>
              <w:rPr>
                <w:rFonts w:ascii="Times New Roman" w:hAnsi="Times New Roman"/>
                <w:szCs w:val="21"/>
              </w:rPr>
            </w:pPr>
            <w:r>
              <w:rPr>
                <w:rFonts w:ascii="Times New Roman" w:hAnsi="Times New Roman"/>
                <w:szCs w:val="21"/>
              </w:rPr>
              <w:t>70</w:t>
            </w:r>
          </w:p>
        </w:tc>
        <w:tc>
          <w:tcPr>
            <w:tcW w:w="1878" w:type="dxa"/>
            <w:tcBorders>
              <w:top w:val="nil"/>
              <w:left w:val="nil"/>
              <w:bottom w:val="single" w:color="auto" w:sz="2" w:space="0"/>
              <w:right w:val="nil"/>
            </w:tcBorders>
            <w:vAlign w:val="center"/>
          </w:tcPr>
          <w:p>
            <w:pPr>
              <w:spacing w:line="300" w:lineRule="auto"/>
              <w:jc w:val="center"/>
              <w:rPr>
                <w:rFonts w:ascii="Times New Roman" w:hAnsi="Times New Roman"/>
                <w:szCs w:val="21"/>
              </w:rPr>
            </w:pPr>
            <w:r>
              <w:rPr>
                <w:rFonts w:ascii="Times New Roman" w:hAnsi="Times New Roman"/>
                <w:szCs w:val="21"/>
              </w:rPr>
              <w:t>30</w:t>
            </w:r>
          </w:p>
        </w:tc>
      </w:tr>
    </w:tbl>
    <w:p>
      <w:pPr>
        <w:spacing w:line="300" w:lineRule="auto"/>
        <w:ind w:firstLine="420" w:firstLineChars="200"/>
        <w:rPr>
          <w:rFonts w:ascii="Times New Roman" w:hAnsi="Times New Roman"/>
          <w:szCs w:val="21"/>
        </w:rPr>
      </w:pPr>
      <w:r>
        <w:rPr>
          <w:rFonts w:ascii="Times New Roman" w:hAnsi="Times New Roman"/>
          <w:szCs w:val="21"/>
        </w:rPr>
        <w:t>流速：1.0</w:t>
      </w:r>
      <w:r>
        <w:rPr>
          <w:rFonts w:hint="eastAsia" w:ascii="Times New Roman" w:hAnsi="Times New Roman"/>
          <w:szCs w:val="21"/>
        </w:rPr>
        <w:t xml:space="preserve"> </w:t>
      </w:r>
      <w:r>
        <w:rPr>
          <w:rFonts w:ascii="Times New Roman" w:hAnsi="Times New Roman"/>
          <w:szCs w:val="21"/>
        </w:rPr>
        <w:t>mL/min；</w:t>
      </w:r>
    </w:p>
    <w:p>
      <w:pPr>
        <w:spacing w:line="300" w:lineRule="auto"/>
        <w:ind w:firstLine="420" w:firstLineChars="200"/>
        <w:rPr>
          <w:rFonts w:ascii="Times New Roman" w:hAnsi="Times New Roman"/>
          <w:szCs w:val="21"/>
        </w:rPr>
      </w:pPr>
      <w:r>
        <w:rPr>
          <w:rFonts w:ascii="Times New Roman" w:hAnsi="Times New Roman"/>
          <w:szCs w:val="21"/>
        </w:rPr>
        <w:t>激发波长：360</w:t>
      </w:r>
      <w:r>
        <w:rPr>
          <w:rFonts w:hint="eastAsia" w:ascii="Times New Roman" w:hAnsi="Times New Roman"/>
          <w:szCs w:val="21"/>
        </w:rPr>
        <w:t xml:space="preserve"> </w:t>
      </w:r>
      <w:r>
        <w:rPr>
          <w:rFonts w:ascii="Times New Roman" w:hAnsi="Times New Roman"/>
          <w:szCs w:val="21"/>
        </w:rPr>
        <w:t>nm；</w:t>
      </w:r>
    </w:p>
    <w:p>
      <w:pPr>
        <w:spacing w:line="300" w:lineRule="auto"/>
        <w:ind w:firstLine="420" w:firstLineChars="200"/>
        <w:rPr>
          <w:rFonts w:ascii="Times New Roman" w:hAnsi="Times New Roman"/>
          <w:szCs w:val="21"/>
        </w:rPr>
      </w:pPr>
      <w:r>
        <w:rPr>
          <w:rFonts w:ascii="Times New Roman" w:hAnsi="Times New Roman"/>
          <w:szCs w:val="21"/>
        </w:rPr>
        <w:t>发射波长：440</w:t>
      </w:r>
      <w:r>
        <w:rPr>
          <w:rFonts w:hint="eastAsia" w:ascii="Times New Roman" w:hAnsi="Times New Roman"/>
          <w:szCs w:val="21"/>
        </w:rPr>
        <w:t xml:space="preserve"> </w:t>
      </w:r>
      <w:r>
        <w:rPr>
          <w:rFonts w:ascii="Times New Roman" w:hAnsi="Times New Roman"/>
          <w:szCs w:val="21"/>
        </w:rPr>
        <w:t>nm；</w:t>
      </w:r>
    </w:p>
    <w:p>
      <w:pPr>
        <w:spacing w:line="300" w:lineRule="auto"/>
        <w:ind w:firstLine="420" w:firstLineChars="200"/>
        <w:rPr>
          <w:rFonts w:ascii="Times New Roman" w:hAnsi="Times New Roman"/>
          <w:szCs w:val="21"/>
        </w:rPr>
      </w:pPr>
      <w:r>
        <w:rPr>
          <w:rFonts w:ascii="Times New Roman" w:hAnsi="Times New Roman"/>
          <w:szCs w:val="21"/>
        </w:rPr>
        <w:t xml:space="preserve">柱温：35 </w:t>
      </w:r>
      <w:r>
        <w:rPr>
          <w:rFonts w:hint="eastAsia" w:ascii="宋体" w:hAnsi="宋体" w:cs="宋体"/>
          <w:szCs w:val="21"/>
        </w:rPr>
        <w:t>℃</w:t>
      </w:r>
      <w:r>
        <w:rPr>
          <w:rFonts w:ascii="Times New Roman" w:hAnsi="Times New Roman"/>
          <w:szCs w:val="21"/>
        </w:rPr>
        <w:t>；</w:t>
      </w:r>
    </w:p>
    <w:p>
      <w:pPr>
        <w:spacing w:line="300" w:lineRule="auto"/>
        <w:ind w:firstLine="420" w:firstLineChars="200"/>
        <w:rPr>
          <w:rFonts w:ascii="Times New Roman" w:hAnsi="Times New Roman"/>
          <w:szCs w:val="21"/>
        </w:rPr>
      </w:pPr>
      <w:r>
        <w:rPr>
          <w:rFonts w:ascii="Times New Roman" w:hAnsi="Times New Roman"/>
          <w:szCs w:val="21"/>
        </w:rPr>
        <w:t>进样量：10 µL。</w:t>
      </w:r>
    </w:p>
    <w:p>
      <w:pPr>
        <w:spacing w:before="156" w:beforeLines="50" w:after="156" w:afterLines="50" w:line="300" w:lineRule="auto"/>
        <w:rPr>
          <w:rFonts w:ascii="Times New Roman" w:hAnsi="Times New Roman"/>
          <w:szCs w:val="21"/>
        </w:rPr>
      </w:pPr>
      <w:r>
        <w:rPr>
          <w:rFonts w:ascii="Times New Roman" w:hAnsi="Times New Roman"/>
          <w:szCs w:val="21"/>
        </w:rPr>
        <w:t xml:space="preserve">5.4 </w:t>
      </w:r>
      <w:r>
        <w:rPr>
          <w:rFonts w:hint="eastAsia" w:ascii="Times New Roman" w:hAnsi="Times New Roman"/>
          <w:szCs w:val="21"/>
        </w:rPr>
        <w:t xml:space="preserve"> </w:t>
      </w:r>
      <w:r>
        <w:rPr>
          <w:rFonts w:ascii="Times New Roman" w:hAnsi="Times New Roman"/>
          <w:szCs w:val="21"/>
        </w:rPr>
        <w:t>测定</w:t>
      </w:r>
    </w:p>
    <w:p>
      <w:pPr>
        <w:spacing w:before="50" w:after="50" w:line="300" w:lineRule="auto"/>
        <w:ind w:firstLine="420" w:firstLineChars="200"/>
        <w:rPr>
          <w:rFonts w:ascii="Times New Roman" w:hAnsi="Times New Roman"/>
          <w:szCs w:val="21"/>
        </w:rPr>
      </w:pPr>
      <w:r>
        <w:rPr>
          <w:rFonts w:ascii="Times New Roman" w:hAnsi="Times New Roman"/>
          <w:szCs w:val="21"/>
        </w:rPr>
        <w:t>在</w:t>
      </w:r>
      <w:r>
        <w:rPr>
          <w:rFonts w:hint="eastAsia" w:ascii="Times New Roman" w:hAnsi="Times New Roman"/>
          <w:szCs w:val="21"/>
        </w:rPr>
        <w:t>“</w:t>
      </w:r>
      <w:r>
        <w:rPr>
          <w:rFonts w:ascii="Times New Roman" w:hAnsi="Times New Roman"/>
          <w:szCs w:val="21"/>
        </w:rPr>
        <w:t>5.3</w:t>
      </w:r>
      <w:r>
        <w:rPr>
          <w:rFonts w:hint="eastAsia" w:ascii="Times New Roman" w:hAnsi="Times New Roman"/>
          <w:szCs w:val="21"/>
        </w:rPr>
        <w:t>”</w:t>
      </w:r>
      <w:r>
        <w:rPr>
          <w:rFonts w:ascii="Times New Roman" w:hAnsi="Times New Roman"/>
          <w:szCs w:val="21"/>
        </w:rPr>
        <w:t>色谱条件下，取混合标准系列溶液（5.1）浓度从低到高分别进样，进行液相色谱分析，分别以混合标准系列溶液浓度为横坐标，峰面积为纵坐标，绘制标准曲线。</w:t>
      </w:r>
    </w:p>
    <w:p>
      <w:pPr>
        <w:spacing w:before="50" w:after="50" w:line="300" w:lineRule="auto"/>
        <w:ind w:firstLine="420" w:firstLineChars="200"/>
        <w:rPr>
          <w:rFonts w:ascii="Times New Roman" w:hAnsi="Times New Roman"/>
          <w:szCs w:val="21"/>
        </w:rPr>
      </w:pPr>
      <w:r>
        <w:rPr>
          <w:rFonts w:ascii="Times New Roman" w:hAnsi="Times New Roman"/>
          <w:szCs w:val="21"/>
        </w:rPr>
        <w:t>取</w:t>
      </w:r>
      <w:r>
        <w:rPr>
          <w:rFonts w:hint="eastAsia" w:ascii="Times New Roman" w:hAnsi="Times New Roman"/>
          <w:szCs w:val="21"/>
        </w:rPr>
        <w:t>“</w:t>
      </w:r>
      <w:r>
        <w:rPr>
          <w:rFonts w:ascii="Times New Roman" w:hAnsi="Times New Roman"/>
          <w:szCs w:val="21"/>
        </w:rPr>
        <w:t>5.2</w:t>
      </w:r>
      <w:r>
        <w:rPr>
          <w:rFonts w:hint="eastAsia" w:ascii="Times New Roman" w:hAnsi="Times New Roman"/>
          <w:szCs w:val="21"/>
        </w:rPr>
        <w:t>”</w:t>
      </w:r>
      <w:r>
        <w:rPr>
          <w:rFonts w:ascii="Times New Roman" w:hAnsi="Times New Roman"/>
          <w:szCs w:val="21"/>
        </w:rPr>
        <w:t>项下的待测溶液进样，根据保留时间定性，测得峰面积，根据标准曲线得到待测溶液中各原料的浓度。按</w:t>
      </w:r>
      <w:r>
        <w:rPr>
          <w:rFonts w:hint="eastAsia" w:ascii="Times New Roman" w:hAnsi="Times New Roman"/>
          <w:szCs w:val="21"/>
        </w:rPr>
        <w:t>“</w:t>
      </w:r>
      <w:r>
        <w:rPr>
          <w:rFonts w:ascii="Times New Roman" w:hAnsi="Times New Roman"/>
          <w:szCs w:val="21"/>
        </w:rPr>
        <w:t>6</w:t>
      </w:r>
      <w:r>
        <w:rPr>
          <w:rFonts w:hint="eastAsia" w:ascii="Times New Roman" w:hAnsi="Times New Roman"/>
          <w:szCs w:val="21"/>
        </w:rPr>
        <w:t>”</w:t>
      </w:r>
      <w:r>
        <w:rPr>
          <w:rFonts w:ascii="Times New Roman" w:hAnsi="Times New Roman"/>
          <w:szCs w:val="21"/>
        </w:rPr>
        <w:t>分别计算样品中5种原料的含量。</w:t>
      </w:r>
    </w:p>
    <w:p>
      <w:pPr>
        <w:spacing w:before="156" w:beforeLines="50" w:after="156" w:afterLines="50" w:line="300" w:lineRule="auto"/>
        <w:rPr>
          <w:rFonts w:ascii="Times New Roman" w:hAnsi="Times New Roman" w:eastAsia="黑体"/>
          <w:szCs w:val="21"/>
        </w:rPr>
      </w:pPr>
      <w:r>
        <w:rPr>
          <w:rFonts w:ascii="Times New Roman" w:hAnsi="Times New Roman" w:eastAsia="黑体"/>
          <w:szCs w:val="21"/>
        </w:rPr>
        <w:t xml:space="preserve">6 </w:t>
      </w:r>
      <w:r>
        <w:rPr>
          <w:rFonts w:hint="eastAsia" w:ascii="Times New Roman" w:hAnsi="Times New Roman" w:eastAsia="黑体"/>
          <w:szCs w:val="21"/>
        </w:rPr>
        <w:t xml:space="preserve"> </w:t>
      </w:r>
      <w:r>
        <w:rPr>
          <w:rFonts w:ascii="Times New Roman" w:hAnsi="Times New Roman" w:eastAsia="黑体"/>
          <w:szCs w:val="21"/>
        </w:rPr>
        <w:t>分析结果的表述</w:t>
      </w:r>
    </w:p>
    <w:p>
      <w:pPr>
        <w:spacing w:before="156" w:beforeLines="50" w:after="156" w:afterLines="50" w:line="300" w:lineRule="auto"/>
        <w:rPr>
          <w:rFonts w:ascii="Times New Roman" w:hAnsi="Times New Roman"/>
          <w:szCs w:val="21"/>
        </w:rPr>
      </w:pPr>
      <w:r>
        <w:rPr>
          <w:rFonts w:ascii="Times New Roman" w:hAnsi="Times New Roman"/>
          <w:szCs w:val="21"/>
        </w:rPr>
        <w:t xml:space="preserve">6.1 </w:t>
      </w:r>
      <w:r>
        <w:rPr>
          <w:rFonts w:hint="eastAsia" w:ascii="Times New Roman" w:hAnsi="Times New Roman"/>
          <w:szCs w:val="21"/>
        </w:rPr>
        <w:t xml:space="preserve"> </w:t>
      </w:r>
      <w:r>
        <w:rPr>
          <w:rFonts w:ascii="Times New Roman" w:hAnsi="Times New Roman"/>
          <w:szCs w:val="21"/>
        </w:rPr>
        <w:t>计算</w:t>
      </w:r>
    </w:p>
    <w:tbl>
      <w:tblPr>
        <w:tblStyle w:val="15"/>
        <w:tblW w:w="2753" w:type="dxa"/>
        <w:jc w:val="center"/>
        <w:tblInd w:w="0" w:type="dxa"/>
        <w:tblLayout w:type="fixed"/>
        <w:tblCellMar>
          <w:top w:w="0" w:type="dxa"/>
          <w:left w:w="108" w:type="dxa"/>
          <w:bottom w:w="0" w:type="dxa"/>
          <w:right w:w="108" w:type="dxa"/>
        </w:tblCellMar>
      </w:tblPr>
      <w:tblGrid>
        <w:gridCol w:w="1134"/>
        <w:gridCol w:w="1619"/>
      </w:tblGrid>
      <w:tr>
        <w:tblPrEx>
          <w:tblLayout w:type="fixed"/>
          <w:tblCellMar>
            <w:top w:w="0" w:type="dxa"/>
            <w:left w:w="108" w:type="dxa"/>
            <w:bottom w:w="0" w:type="dxa"/>
            <w:right w:w="108" w:type="dxa"/>
          </w:tblCellMar>
        </w:tblPrEx>
        <w:trPr>
          <w:cantSplit/>
          <w:trHeight w:val="337" w:hRule="atLeast"/>
          <w:jc w:val="center"/>
        </w:trPr>
        <w:tc>
          <w:tcPr>
            <w:tcW w:w="1134" w:type="dxa"/>
            <w:vMerge w:val="restart"/>
            <w:vAlign w:val="center"/>
          </w:tcPr>
          <w:p>
            <w:pPr>
              <w:spacing w:line="300" w:lineRule="auto"/>
              <w:jc w:val="center"/>
              <w:rPr>
                <w:rFonts w:ascii="Times New Roman" w:hAnsi="Times New Roman"/>
                <w:i/>
                <w:szCs w:val="21"/>
              </w:rPr>
            </w:pPr>
            <w:r>
              <w:rPr>
                <w:rFonts w:hint="eastAsia" w:ascii="Times New Roman" w:hAnsi="Times New Roman"/>
                <w:i/>
                <w:szCs w:val="21"/>
              </w:rPr>
              <w:t xml:space="preserve">      </w:t>
            </w:r>
            <w:r>
              <w:rPr>
                <w:rFonts w:ascii="Times New Roman" w:hAnsi="Times New Roman"/>
                <w:i/>
                <w:szCs w:val="21"/>
              </w:rPr>
              <w:sym w:font="Symbol" w:char="0077"/>
            </w:r>
            <w:r>
              <w:rPr>
                <w:rFonts w:ascii="Times New Roman" w:hAnsi="Times New Roman"/>
                <w:i/>
                <w:szCs w:val="21"/>
              </w:rPr>
              <w:t>=</w:t>
            </w:r>
          </w:p>
        </w:tc>
        <w:tc>
          <w:tcPr>
            <w:tcW w:w="1619" w:type="dxa"/>
            <w:tcBorders>
              <w:top w:val="nil"/>
              <w:left w:val="nil"/>
              <w:bottom w:val="single" w:color="auto" w:sz="4" w:space="0"/>
              <w:right w:val="nil"/>
            </w:tcBorders>
            <w:vAlign w:val="center"/>
          </w:tcPr>
          <w:p>
            <w:pPr>
              <w:spacing w:line="300" w:lineRule="auto"/>
              <w:ind w:firstLine="210" w:firstLineChars="100"/>
              <w:rPr>
                <w:rFonts w:ascii="Times New Roman" w:hAnsi="Times New Roman"/>
                <w:i/>
                <w:szCs w:val="21"/>
              </w:rPr>
            </w:pPr>
            <w:r>
              <w:rPr>
                <w:rFonts w:ascii="Times New Roman" w:hAnsi="Times New Roman"/>
                <w:i/>
                <w:szCs w:val="21"/>
              </w:rPr>
              <w:t>D</w:t>
            </w:r>
            <w:r>
              <w:rPr>
                <w:rFonts w:ascii="Times New Roman" w:hAnsi="Times New Roman"/>
                <w:i/>
                <w:szCs w:val="21"/>
              </w:rPr>
              <w:sym w:font="Symbol" w:char="00B4"/>
            </w:r>
            <w:r>
              <w:rPr>
                <w:rFonts w:ascii="Times New Roman" w:hAnsi="Times New Roman"/>
                <w:i/>
                <w:szCs w:val="21"/>
              </w:rPr>
              <w:sym w:font="Symbol" w:char="0072"/>
            </w:r>
            <w:r>
              <w:rPr>
                <w:rFonts w:ascii="Times New Roman" w:hAnsi="Times New Roman"/>
                <w:i/>
                <w:szCs w:val="21"/>
              </w:rPr>
              <w:sym w:font="Symbol" w:char="00B4"/>
            </w:r>
            <w:r>
              <w:rPr>
                <w:rFonts w:ascii="Times New Roman" w:hAnsi="Times New Roman"/>
                <w:i/>
                <w:szCs w:val="21"/>
              </w:rPr>
              <w:t>V</w:t>
            </w:r>
          </w:p>
        </w:tc>
      </w:tr>
      <w:tr>
        <w:tblPrEx>
          <w:tblLayout w:type="fixed"/>
          <w:tblCellMar>
            <w:top w:w="0" w:type="dxa"/>
            <w:left w:w="108" w:type="dxa"/>
            <w:bottom w:w="0" w:type="dxa"/>
            <w:right w:w="108" w:type="dxa"/>
          </w:tblCellMar>
        </w:tblPrEx>
        <w:trPr>
          <w:cantSplit/>
          <w:trHeight w:val="162" w:hRule="atLeast"/>
          <w:jc w:val="center"/>
        </w:trPr>
        <w:tc>
          <w:tcPr>
            <w:tcW w:w="1134" w:type="dxa"/>
            <w:vMerge w:val="continue"/>
            <w:vAlign w:val="center"/>
          </w:tcPr>
          <w:p>
            <w:pPr>
              <w:spacing w:line="300" w:lineRule="auto"/>
              <w:jc w:val="center"/>
              <w:rPr>
                <w:rFonts w:ascii="Times New Roman" w:hAnsi="Times New Roman"/>
                <w:i/>
                <w:szCs w:val="21"/>
              </w:rPr>
            </w:pPr>
          </w:p>
        </w:tc>
        <w:tc>
          <w:tcPr>
            <w:tcW w:w="1619" w:type="dxa"/>
            <w:vAlign w:val="center"/>
          </w:tcPr>
          <w:p>
            <w:pPr>
              <w:spacing w:line="300" w:lineRule="auto"/>
              <w:ind w:firstLine="210" w:firstLineChars="100"/>
              <w:rPr>
                <w:rFonts w:ascii="Times New Roman" w:hAnsi="Times New Roman"/>
                <w:i/>
                <w:szCs w:val="21"/>
              </w:rPr>
            </w:pPr>
            <w:r>
              <w:rPr>
                <w:rFonts w:ascii="Times New Roman" w:hAnsi="Times New Roman"/>
                <w:i/>
                <w:szCs w:val="21"/>
              </w:rPr>
              <w:t>m</w:t>
            </w:r>
            <w:r>
              <w:rPr>
                <w:rFonts w:ascii="Times New Roman" w:hAnsi="Times New Roman"/>
                <w:i/>
                <w:szCs w:val="21"/>
              </w:rPr>
              <w:sym w:font="Symbol" w:char="00B4"/>
            </w:r>
            <w:r>
              <w:rPr>
                <w:rFonts w:ascii="Times New Roman" w:hAnsi="Times New Roman"/>
                <w:i/>
                <w:szCs w:val="21"/>
              </w:rPr>
              <w:t>1000</w:t>
            </w:r>
          </w:p>
        </w:tc>
      </w:tr>
    </w:tbl>
    <w:p>
      <w:pPr>
        <w:spacing w:line="300" w:lineRule="auto"/>
        <w:ind w:firstLine="315" w:firstLineChars="150"/>
        <w:rPr>
          <w:rFonts w:ascii="Times New Roman" w:hAnsi="Times New Roman"/>
          <w:szCs w:val="21"/>
        </w:rPr>
      </w:pPr>
      <w:r>
        <w:rPr>
          <w:rFonts w:ascii="Times New Roman" w:hAnsi="Times New Roman"/>
          <w:szCs w:val="21"/>
        </w:rPr>
        <w:t>式中：</w:t>
      </w:r>
      <w:r>
        <w:rPr>
          <w:rFonts w:ascii="Times New Roman" w:hAnsi="Times New Roman"/>
          <w:i/>
          <w:szCs w:val="21"/>
        </w:rPr>
        <w:t>ω</w:t>
      </w:r>
      <w:r>
        <w:rPr>
          <w:rFonts w:ascii="Times New Roman" w:hAnsi="Times New Roman"/>
          <w:szCs w:val="21"/>
        </w:rPr>
        <w:t>—— 化妆品中联苯乙烯二苯基二磺酸二钠等5种原料的质量分数，μg/g；</w:t>
      </w:r>
    </w:p>
    <w:p>
      <w:pPr>
        <w:spacing w:line="300" w:lineRule="auto"/>
        <w:ind w:firstLine="945" w:firstLineChars="450"/>
        <w:rPr>
          <w:rFonts w:ascii="Times New Roman" w:hAnsi="Times New Roman"/>
          <w:szCs w:val="21"/>
        </w:rPr>
      </w:pPr>
      <w:r>
        <w:rPr>
          <w:rFonts w:ascii="Times New Roman" w:hAnsi="Times New Roman"/>
          <w:i/>
          <w:szCs w:val="21"/>
        </w:rPr>
        <w:sym w:font="Symbol" w:char="0072"/>
      </w:r>
      <w:r>
        <w:rPr>
          <w:rFonts w:ascii="Times New Roman" w:hAnsi="Times New Roman"/>
          <w:szCs w:val="21"/>
        </w:rPr>
        <w:t xml:space="preserve"> —— 从标准曲线上得到待测原料的质量浓度，ng/mL；</w:t>
      </w:r>
    </w:p>
    <w:p>
      <w:pPr>
        <w:spacing w:line="300" w:lineRule="auto"/>
        <w:ind w:firstLine="945" w:firstLineChars="450"/>
        <w:rPr>
          <w:rFonts w:ascii="Times New Roman" w:hAnsi="Times New Roman"/>
          <w:szCs w:val="21"/>
        </w:rPr>
      </w:pPr>
      <w:r>
        <w:rPr>
          <w:rFonts w:ascii="Times New Roman" w:hAnsi="Times New Roman"/>
          <w:i/>
          <w:szCs w:val="21"/>
        </w:rPr>
        <w:t xml:space="preserve">V </w:t>
      </w:r>
      <w:r>
        <w:rPr>
          <w:rFonts w:ascii="Times New Roman" w:hAnsi="Times New Roman"/>
          <w:szCs w:val="21"/>
        </w:rPr>
        <w:t>—— 样品定容体积，mL；</w:t>
      </w:r>
    </w:p>
    <w:p>
      <w:pPr>
        <w:spacing w:line="300" w:lineRule="auto"/>
        <w:ind w:firstLine="945" w:firstLineChars="450"/>
        <w:rPr>
          <w:rFonts w:ascii="Times New Roman" w:hAnsi="Times New Roman"/>
          <w:szCs w:val="21"/>
        </w:rPr>
      </w:pPr>
      <w:r>
        <w:rPr>
          <w:rFonts w:ascii="Times New Roman" w:hAnsi="Times New Roman"/>
          <w:i/>
          <w:szCs w:val="21"/>
        </w:rPr>
        <w:t>m</w:t>
      </w:r>
      <w:r>
        <w:rPr>
          <w:rFonts w:ascii="Times New Roman" w:hAnsi="Times New Roman"/>
          <w:szCs w:val="21"/>
        </w:rPr>
        <w:t xml:space="preserve"> —— 样品称样量，g；</w:t>
      </w:r>
    </w:p>
    <w:p>
      <w:pPr>
        <w:spacing w:line="300" w:lineRule="auto"/>
        <w:ind w:firstLine="945" w:firstLineChars="450"/>
        <w:rPr>
          <w:rFonts w:ascii="Times New Roman" w:hAnsi="Times New Roman"/>
          <w:szCs w:val="21"/>
        </w:rPr>
      </w:pPr>
      <w:r>
        <w:rPr>
          <w:rFonts w:ascii="Times New Roman" w:hAnsi="Times New Roman"/>
          <w:i/>
          <w:szCs w:val="21"/>
        </w:rPr>
        <w:t>D</w:t>
      </w:r>
      <w:r>
        <w:rPr>
          <w:rFonts w:ascii="Times New Roman" w:hAnsi="Times New Roman"/>
          <w:szCs w:val="21"/>
        </w:rPr>
        <w:t xml:space="preserve"> —— 稀释倍数（不稀释则取1）。</w:t>
      </w:r>
    </w:p>
    <w:p>
      <w:pPr>
        <w:autoSpaceDE w:val="0"/>
        <w:spacing w:before="156" w:beforeLines="50" w:after="156" w:afterLines="50" w:line="300" w:lineRule="auto"/>
        <w:ind w:firstLine="420" w:firstLineChars="200"/>
        <w:jc w:val="left"/>
        <w:rPr>
          <w:rFonts w:ascii="Times New Roman" w:hAnsi="Times New Roman"/>
          <w:szCs w:val="21"/>
        </w:rPr>
      </w:pPr>
      <w:r>
        <w:rPr>
          <w:rFonts w:ascii="Times New Roman" w:hAnsi="Times New Roman"/>
          <w:szCs w:val="21"/>
        </w:rPr>
        <w:t>在重复性条件下获得的两次独立测试结果的绝对差值不得超过算术平均值的10%。</w:t>
      </w:r>
    </w:p>
    <w:p>
      <w:pPr>
        <w:autoSpaceDE w:val="0"/>
        <w:spacing w:before="156" w:beforeLines="50" w:after="156" w:afterLines="50" w:line="300" w:lineRule="auto"/>
        <w:jc w:val="left"/>
        <w:rPr>
          <w:rFonts w:ascii="Times New Roman" w:hAnsi="Times New Roman"/>
          <w:szCs w:val="21"/>
        </w:rPr>
      </w:pPr>
      <w:r>
        <w:rPr>
          <w:rFonts w:ascii="Times New Roman" w:hAnsi="Times New Roman"/>
          <w:szCs w:val="21"/>
        </w:rPr>
        <w:t xml:space="preserve">6.2 </w:t>
      </w:r>
      <w:r>
        <w:rPr>
          <w:rFonts w:hint="eastAsia" w:ascii="Times New Roman" w:hAnsi="Times New Roman"/>
          <w:szCs w:val="21"/>
        </w:rPr>
        <w:t xml:space="preserve"> </w:t>
      </w:r>
      <w:r>
        <w:rPr>
          <w:rFonts w:ascii="Times New Roman" w:hAnsi="Times New Roman"/>
          <w:szCs w:val="21"/>
        </w:rPr>
        <w:t>回收率和精密度</w:t>
      </w:r>
    </w:p>
    <w:p>
      <w:pPr>
        <w:autoSpaceDE w:val="0"/>
        <w:spacing w:before="50" w:after="50" w:line="300" w:lineRule="auto"/>
        <w:ind w:firstLine="420" w:firstLineChars="200"/>
        <w:jc w:val="left"/>
        <w:rPr>
          <w:rFonts w:ascii="Times New Roman" w:hAnsi="Times New Roman"/>
          <w:szCs w:val="21"/>
        </w:rPr>
      </w:pPr>
      <w:r>
        <w:rPr>
          <w:rFonts w:ascii="Times New Roman" w:hAnsi="Times New Roman"/>
          <w:szCs w:val="21"/>
        </w:rPr>
        <w:t>多家实验室验证在定量下限浓度附近回收率为76.0%～128.0%，相对标准偏差小于等于7.3%；其他浓度回收率为82.0%～119.0%，相对标准偏差小于等于5.5%。</w:t>
      </w:r>
    </w:p>
    <w:p>
      <w:pPr>
        <w:spacing w:before="156" w:beforeLines="50" w:after="156" w:afterLines="50" w:line="300" w:lineRule="auto"/>
        <w:rPr>
          <w:rFonts w:ascii="Times New Roman" w:hAnsi="Times New Roman" w:eastAsia="黑体"/>
          <w:szCs w:val="21"/>
        </w:rPr>
      </w:pPr>
      <w:r>
        <w:rPr>
          <w:rFonts w:ascii="Times New Roman" w:hAnsi="Times New Roman" w:eastAsia="黑体"/>
          <w:szCs w:val="21"/>
        </w:rPr>
        <w:t>7</w:t>
      </w:r>
      <w:r>
        <w:rPr>
          <w:rFonts w:hint="eastAsia" w:ascii="Times New Roman" w:hAnsi="Times New Roman" w:eastAsia="黑体"/>
          <w:szCs w:val="21"/>
        </w:rPr>
        <w:t xml:space="preserve"> </w:t>
      </w:r>
      <w:r>
        <w:rPr>
          <w:rFonts w:ascii="Times New Roman" w:hAnsi="Times New Roman" w:eastAsia="黑体"/>
          <w:szCs w:val="21"/>
        </w:rPr>
        <w:t xml:space="preserve"> 图谱</w:t>
      </w:r>
    </w:p>
    <w:p>
      <w:pPr>
        <w:spacing w:line="300" w:lineRule="auto"/>
        <w:jc w:val="center"/>
        <w:rPr>
          <w:rFonts w:ascii="Times New Roman" w:hAnsi="Times New Roman"/>
          <w:kern w:val="0"/>
          <w:szCs w:val="21"/>
        </w:rPr>
      </w:pPr>
      <w:r>
        <w:rPr>
          <w:rFonts w:ascii="Times New Roman" w:hAnsi="Times New Roman"/>
          <w:kern w:val="0"/>
          <w:szCs w:val="21"/>
        </w:rPr>
        <w:drawing>
          <wp:inline distT="0" distB="0" distL="0" distR="0">
            <wp:extent cx="5369560" cy="2186940"/>
            <wp:effectExtent l="19050" t="0" r="2383" b="0"/>
            <wp:docPr id="4" name="图片 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png"/>
                    <pic:cNvPicPr>
                      <a:picLocks noChangeAspect="1"/>
                    </pic:cNvPicPr>
                  </pic:nvPicPr>
                  <pic:blipFill>
                    <a:blip r:embed="rId6"/>
                    <a:stretch>
                      <a:fillRect/>
                    </a:stretch>
                  </pic:blipFill>
                  <pic:spPr>
                    <a:xfrm>
                      <a:off x="0" y="0"/>
                      <a:ext cx="5373310" cy="2188403"/>
                    </a:xfrm>
                    <a:prstGeom prst="rect">
                      <a:avLst/>
                    </a:prstGeom>
                  </pic:spPr>
                </pic:pic>
              </a:graphicData>
            </a:graphic>
          </wp:inline>
        </w:drawing>
      </w:r>
    </w:p>
    <w:p>
      <w:pPr>
        <w:snapToGrid w:val="0"/>
        <w:spacing w:before="156" w:beforeLines="50" w:after="156" w:afterLines="50" w:line="300" w:lineRule="auto"/>
        <w:jc w:val="center"/>
        <w:rPr>
          <w:rFonts w:ascii="Times New Roman" w:hAnsi="Times New Roman" w:eastAsia="黑体"/>
          <w:kern w:val="0"/>
          <w:szCs w:val="21"/>
        </w:rPr>
      </w:pPr>
      <w:r>
        <w:rPr>
          <w:rFonts w:ascii="Times New Roman" w:hAnsi="Times New Roman" w:eastAsia="黑体"/>
          <w:kern w:val="0"/>
          <w:szCs w:val="21"/>
        </w:rPr>
        <w:t>图1 混标溶液色谱图</w:t>
      </w:r>
    </w:p>
    <w:p>
      <w:pPr>
        <w:pStyle w:val="17"/>
        <w:snapToGrid w:val="0"/>
        <w:spacing w:before="50" w:after="50" w:line="300" w:lineRule="auto"/>
        <w:ind w:left="360" w:firstLine="0" w:firstLineChars="0"/>
        <w:jc w:val="center"/>
        <w:rPr>
          <w:rFonts w:ascii="Times New Roman" w:hAnsi="Times New Roman"/>
          <w:kern w:val="0"/>
          <w:sz w:val="18"/>
          <w:szCs w:val="18"/>
        </w:rPr>
      </w:pPr>
      <w:r>
        <w:rPr>
          <w:rFonts w:ascii="Times New Roman" w:hAnsi="Times New Roman"/>
          <w:kern w:val="0"/>
          <w:sz w:val="18"/>
          <w:szCs w:val="18"/>
        </w:rPr>
        <w:t>1：4,4'-双[(4-苯胺基-6-羟乙基氨基-1,3,5-三嗪-2-基)氨基]二苯乙烯-2,2'-二磺酸二钠盐（566.9 ng/mL）；2：</w:t>
      </w:r>
      <w:r>
        <w:rPr>
          <w:rFonts w:ascii="Times New Roman" w:hAnsi="Times New Roman"/>
          <w:sz w:val="18"/>
          <w:szCs w:val="18"/>
        </w:rPr>
        <w:t>联苯乙烯二苯基二磺酸二钠</w:t>
      </w:r>
      <w:r>
        <w:rPr>
          <w:rFonts w:ascii="Times New Roman" w:hAnsi="Times New Roman"/>
          <w:kern w:val="0"/>
          <w:sz w:val="18"/>
          <w:szCs w:val="18"/>
        </w:rPr>
        <w:t>（59.51 ng/mL）；3：</w:t>
      </w:r>
      <w:r>
        <w:rPr>
          <w:rFonts w:ascii="Times New Roman" w:hAnsi="Times New Roman"/>
          <w:sz w:val="18"/>
          <w:szCs w:val="18"/>
        </w:rPr>
        <w:t>二乙氨基甲基香豆素</w:t>
      </w:r>
      <w:r>
        <w:rPr>
          <w:rFonts w:ascii="Times New Roman" w:hAnsi="Times New Roman"/>
          <w:kern w:val="0"/>
          <w:sz w:val="18"/>
          <w:szCs w:val="18"/>
        </w:rPr>
        <w:t>（74.97 ng/mL）；4：</w:t>
      </w:r>
      <w:r>
        <w:rPr>
          <w:rFonts w:ascii="Times New Roman" w:hAnsi="Times New Roman" w:eastAsiaTheme="minorEastAsia"/>
          <w:sz w:val="18"/>
          <w:szCs w:val="18"/>
        </w:rPr>
        <w:t>二苯并噁唑基萘</w:t>
      </w:r>
      <w:r>
        <w:rPr>
          <w:rFonts w:ascii="Times New Roman" w:hAnsi="Times New Roman"/>
          <w:kern w:val="0"/>
          <w:sz w:val="18"/>
          <w:szCs w:val="18"/>
        </w:rPr>
        <w:t>（54.64 ng/mL）；5：</w:t>
      </w:r>
      <w:r>
        <w:rPr>
          <w:rFonts w:ascii="Times New Roman" w:hAnsi="Times New Roman"/>
          <w:sz w:val="18"/>
          <w:szCs w:val="18"/>
        </w:rPr>
        <w:t>双（叔丁基苯并噁唑基）噻吩</w:t>
      </w:r>
      <w:r>
        <w:rPr>
          <w:rFonts w:ascii="Times New Roman" w:hAnsi="Times New Roman"/>
          <w:kern w:val="0"/>
          <w:sz w:val="18"/>
          <w:szCs w:val="18"/>
        </w:rPr>
        <w:t>（58.41 ng/mL）</w:t>
      </w:r>
    </w:p>
    <w:p>
      <w:pPr>
        <w:snapToGrid w:val="0"/>
        <w:spacing w:before="156" w:beforeLines="50" w:after="156" w:afterLines="50" w:line="300" w:lineRule="auto"/>
        <w:jc w:val="center"/>
        <w:rPr>
          <w:rFonts w:hint="eastAsia" w:ascii="Times New Roman" w:hAnsi="Times New Roman" w:eastAsia="黑体"/>
          <w:szCs w:val="21"/>
        </w:rPr>
      </w:pPr>
    </w:p>
    <w:p>
      <w:pPr>
        <w:snapToGrid w:val="0"/>
        <w:spacing w:before="156" w:beforeLines="50" w:after="156" w:afterLines="50" w:line="300" w:lineRule="auto"/>
        <w:jc w:val="center"/>
        <w:rPr>
          <w:rFonts w:hint="eastAsia" w:ascii="Times New Roman" w:hAnsi="Times New Roman" w:eastAsia="黑体"/>
          <w:szCs w:val="21"/>
        </w:rPr>
      </w:pPr>
    </w:p>
    <w:p>
      <w:pPr>
        <w:snapToGrid w:val="0"/>
        <w:spacing w:before="156" w:beforeLines="50" w:after="156" w:afterLines="50" w:line="300" w:lineRule="auto"/>
        <w:jc w:val="center"/>
        <w:rPr>
          <w:rFonts w:hint="eastAsia" w:ascii="Times New Roman" w:hAnsi="Times New Roman" w:eastAsia="黑体"/>
          <w:szCs w:val="21"/>
        </w:rPr>
      </w:pPr>
    </w:p>
    <w:p>
      <w:pPr>
        <w:snapToGrid w:val="0"/>
        <w:spacing w:before="156" w:beforeLines="50" w:after="156" w:afterLines="50" w:line="300" w:lineRule="auto"/>
        <w:jc w:val="center"/>
        <w:rPr>
          <w:rFonts w:hint="eastAsia" w:ascii="Times New Roman" w:hAnsi="Times New Roman" w:eastAsia="黑体"/>
          <w:szCs w:val="21"/>
        </w:rPr>
      </w:pPr>
    </w:p>
    <w:p>
      <w:pPr>
        <w:snapToGrid w:val="0"/>
        <w:spacing w:before="156" w:beforeLines="50" w:after="156" w:afterLines="50" w:line="300" w:lineRule="auto"/>
        <w:jc w:val="center"/>
        <w:rPr>
          <w:rFonts w:hint="eastAsia" w:ascii="Times New Roman" w:hAnsi="Times New Roman" w:eastAsia="黑体"/>
          <w:szCs w:val="21"/>
        </w:rPr>
      </w:pPr>
    </w:p>
    <w:p>
      <w:pPr>
        <w:snapToGrid w:val="0"/>
        <w:spacing w:before="156" w:beforeLines="50" w:after="156" w:afterLines="50" w:line="300" w:lineRule="auto"/>
        <w:jc w:val="center"/>
        <w:rPr>
          <w:rFonts w:hint="eastAsia" w:ascii="Times New Roman" w:hAnsi="Times New Roman" w:eastAsia="黑体"/>
          <w:szCs w:val="21"/>
        </w:rPr>
      </w:pPr>
    </w:p>
    <w:p>
      <w:pPr>
        <w:snapToGrid w:val="0"/>
        <w:spacing w:before="156" w:beforeLines="50" w:after="156" w:afterLines="50" w:line="300" w:lineRule="auto"/>
        <w:jc w:val="center"/>
        <w:rPr>
          <w:rFonts w:hint="eastAsia" w:ascii="Times New Roman" w:hAnsi="Times New Roman" w:eastAsia="黑体"/>
          <w:szCs w:val="21"/>
        </w:rPr>
      </w:pPr>
    </w:p>
    <w:p>
      <w:pPr>
        <w:snapToGrid w:val="0"/>
        <w:spacing w:before="156" w:beforeLines="50" w:after="156" w:afterLines="50" w:line="300" w:lineRule="auto"/>
        <w:jc w:val="center"/>
        <w:rPr>
          <w:rFonts w:hint="eastAsia" w:ascii="Times New Roman" w:hAnsi="Times New Roman" w:eastAsia="黑体"/>
          <w:szCs w:val="21"/>
        </w:rPr>
      </w:pP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附录A</w:t>
      </w: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(规范性附录)</w:t>
      </w: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联苯乙烯二苯基二磺酸二钠等5种原料的阳性结果确证</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如检出阳性样品，需经液相色谱-质谱法进行定性确证。</w:t>
      </w:r>
    </w:p>
    <w:p>
      <w:pPr>
        <w:snapToGrid w:val="0"/>
        <w:spacing w:before="156" w:beforeLines="50" w:after="156" w:afterLines="50" w:line="300" w:lineRule="auto"/>
        <w:rPr>
          <w:rFonts w:ascii="Times New Roman" w:hAnsi="Times New Roman"/>
          <w:szCs w:val="21"/>
        </w:rPr>
      </w:pPr>
      <w:r>
        <w:rPr>
          <w:rFonts w:ascii="Times New Roman" w:hAnsi="Times New Roman"/>
          <w:szCs w:val="21"/>
        </w:rPr>
        <w:t>A.1 前处理过程见</w:t>
      </w:r>
      <w:r>
        <w:rPr>
          <w:rFonts w:hint="eastAsia" w:ascii="Times New Roman" w:hAnsi="Times New Roman"/>
          <w:szCs w:val="21"/>
        </w:rPr>
        <w:t>“</w:t>
      </w:r>
      <w:r>
        <w:rPr>
          <w:rFonts w:ascii="Times New Roman" w:hAnsi="Times New Roman"/>
          <w:szCs w:val="21"/>
        </w:rPr>
        <w:t>5.2</w:t>
      </w:r>
      <w:r>
        <w:rPr>
          <w:rFonts w:hint="eastAsia" w:ascii="Times New Roman" w:hAnsi="Times New Roman"/>
          <w:szCs w:val="21"/>
        </w:rPr>
        <w:t>”</w:t>
      </w:r>
    </w:p>
    <w:p>
      <w:pPr>
        <w:snapToGrid w:val="0"/>
        <w:spacing w:before="156" w:beforeLines="50" w:after="156" w:afterLines="50" w:line="300" w:lineRule="auto"/>
        <w:rPr>
          <w:rFonts w:ascii="Times New Roman" w:hAnsi="Times New Roman"/>
          <w:szCs w:val="21"/>
        </w:rPr>
      </w:pPr>
      <w:r>
        <w:rPr>
          <w:rFonts w:ascii="Times New Roman" w:hAnsi="Times New Roman"/>
          <w:szCs w:val="21"/>
        </w:rPr>
        <w:t>A.2 参考色谱条件</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色谱柱：C18柱（2.1 mm×50 mm，1.8 μm)，或等效色谱柱；</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流动相A:10 mmol/L乙酸铵溶液</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流动相B:乙腈</w:t>
      </w:r>
    </w:p>
    <w:p>
      <w:pPr>
        <w:snapToGrid w:val="0"/>
        <w:spacing w:before="156" w:beforeLines="50" w:after="156" w:afterLines="50" w:line="300" w:lineRule="auto"/>
        <w:ind w:firstLine="420" w:firstLineChars="200"/>
        <w:jc w:val="center"/>
        <w:rPr>
          <w:rFonts w:ascii="Times New Roman" w:hAnsi="Times New Roman" w:eastAsia="黑体"/>
          <w:szCs w:val="21"/>
        </w:rPr>
      </w:pPr>
      <w:r>
        <w:rPr>
          <w:rFonts w:ascii="Times New Roman" w:hAnsi="Times New Roman" w:eastAsia="黑体"/>
          <w:szCs w:val="21"/>
        </w:rPr>
        <w:t>表A.1梯度洗脱程序</w:t>
      </w:r>
    </w:p>
    <w:tbl>
      <w:tblPr>
        <w:tblStyle w:val="15"/>
        <w:tblW w:w="8196" w:type="dxa"/>
        <w:jc w:val="center"/>
        <w:tblInd w:w="0" w:type="dxa"/>
        <w:tblLayout w:type="fixed"/>
        <w:tblCellMar>
          <w:top w:w="0" w:type="dxa"/>
          <w:left w:w="108" w:type="dxa"/>
          <w:bottom w:w="0" w:type="dxa"/>
          <w:right w:w="108" w:type="dxa"/>
        </w:tblCellMar>
      </w:tblPr>
      <w:tblGrid>
        <w:gridCol w:w="2660"/>
        <w:gridCol w:w="2693"/>
        <w:gridCol w:w="2843"/>
      </w:tblGrid>
      <w:tr>
        <w:tblPrEx>
          <w:tblLayout w:type="fixed"/>
          <w:tblCellMar>
            <w:top w:w="0" w:type="dxa"/>
            <w:left w:w="108" w:type="dxa"/>
            <w:bottom w:w="0" w:type="dxa"/>
            <w:right w:w="108" w:type="dxa"/>
          </w:tblCellMar>
        </w:tblPrEx>
        <w:trPr>
          <w:jc w:val="center"/>
        </w:trPr>
        <w:tc>
          <w:tcPr>
            <w:tcW w:w="2660" w:type="dxa"/>
            <w:tcBorders>
              <w:top w:val="single" w:color="auto" w:sz="2" w:space="0"/>
              <w:left w:val="nil"/>
              <w:bottom w:val="single" w:color="000000" w:sz="6" w:space="0"/>
              <w:right w:val="nil"/>
            </w:tcBorders>
            <w:vAlign w:val="center"/>
          </w:tcPr>
          <w:p>
            <w:pPr>
              <w:spacing w:line="300" w:lineRule="auto"/>
              <w:jc w:val="center"/>
              <w:rPr>
                <w:rFonts w:ascii="Times New Roman" w:hAnsi="Times New Roman"/>
                <w:szCs w:val="21"/>
              </w:rPr>
            </w:pPr>
            <w:r>
              <w:rPr>
                <w:rFonts w:ascii="Times New Roman" w:hAnsi="Times New Roman"/>
                <w:szCs w:val="21"/>
              </w:rPr>
              <w:t>时间/min</w:t>
            </w:r>
          </w:p>
        </w:tc>
        <w:tc>
          <w:tcPr>
            <w:tcW w:w="2693" w:type="dxa"/>
            <w:tcBorders>
              <w:top w:val="single" w:color="auto" w:sz="2" w:space="0"/>
              <w:left w:val="nil"/>
              <w:bottom w:val="single" w:color="000000" w:sz="6" w:space="0"/>
              <w:right w:val="nil"/>
            </w:tcBorders>
            <w:vAlign w:val="center"/>
          </w:tcPr>
          <w:p>
            <w:pPr>
              <w:spacing w:line="300" w:lineRule="auto"/>
              <w:jc w:val="center"/>
              <w:rPr>
                <w:rFonts w:ascii="Times New Roman" w:hAnsi="Times New Roman"/>
                <w:szCs w:val="21"/>
              </w:rPr>
            </w:pPr>
            <w:r>
              <w:rPr>
                <w:rFonts w:ascii="Times New Roman" w:hAnsi="Times New Roman"/>
                <w:szCs w:val="21"/>
              </w:rPr>
              <w:t>V(流动相A）/%</w:t>
            </w:r>
          </w:p>
        </w:tc>
        <w:tc>
          <w:tcPr>
            <w:tcW w:w="2843" w:type="dxa"/>
            <w:tcBorders>
              <w:top w:val="single" w:color="auto" w:sz="2" w:space="0"/>
              <w:left w:val="nil"/>
              <w:bottom w:val="single" w:color="000000" w:sz="6" w:space="0"/>
              <w:right w:val="nil"/>
            </w:tcBorders>
            <w:vAlign w:val="center"/>
          </w:tcPr>
          <w:p>
            <w:pPr>
              <w:spacing w:line="300" w:lineRule="auto"/>
              <w:jc w:val="center"/>
              <w:rPr>
                <w:rFonts w:ascii="Times New Roman" w:hAnsi="Times New Roman"/>
                <w:szCs w:val="21"/>
              </w:rPr>
            </w:pPr>
            <w:r>
              <w:rPr>
                <w:rFonts w:ascii="Times New Roman" w:hAnsi="Times New Roman"/>
                <w:szCs w:val="21"/>
              </w:rPr>
              <w:t>V(流动相B）/%</w:t>
            </w:r>
          </w:p>
        </w:tc>
      </w:tr>
      <w:tr>
        <w:tblPrEx>
          <w:tblLayout w:type="fixed"/>
          <w:tblCellMar>
            <w:top w:w="0" w:type="dxa"/>
            <w:left w:w="108" w:type="dxa"/>
            <w:bottom w:w="0" w:type="dxa"/>
            <w:right w:w="108" w:type="dxa"/>
          </w:tblCellMar>
        </w:tblPrEx>
        <w:trPr>
          <w:jc w:val="center"/>
        </w:trPr>
        <w:tc>
          <w:tcPr>
            <w:tcW w:w="2660" w:type="dxa"/>
            <w:tcBorders>
              <w:top w:val="single" w:color="000000" w:sz="6" w:space="0"/>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0.01</w:t>
            </w:r>
          </w:p>
        </w:tc>
        <w:tc>
          <w:tcPr>
            <w:tcW w:w="2693" w:type="dxa"/>
            <w:tcBorders>
              <w:top w:val="single" w:color="000000" w:sz="6" w:space="0"/>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90</w:t>
            </w:r>
          </w:p>
        </w:tc>
        <w:tc>
          <w:tcPr>
            <w:tcW w:w="2843" w:type="dxa"/>
            <w:tcBorders>
              <w:top w:val="single" w:color="000000" w:sz="6" w:space="0"/>
              <w:left w:val="nil"/>
              <w:bottom w:val="nil"/>
              <w:right w:val="nil"/>
            </w:tcBorders>
            <w:vAlign w:val="center"/>
          </w:tcPr>
          <w:p>
            <w:pPr>
              <w:spacing w:line="300" w:lineRule="auto"/>
              <w:jc w:val="center"/>
              <w:rPr>
                <w:rFonts w:ascii="Times New Roman" w:hAnsi="Times New Roman"/>
                <w:szCs w:val="21"/>
              </w:rPr>
            </w:pPr>
            <w:r>
              <w:rPr>
                <w:rFonts w:ascii="Times New Roman" w:hAnsi="Times New Roman"/>
                <w:szCs w:val="21"/>
              </w:rPr>
              <w:t>10</w:t>
            </w:r>
          </w:p>
        </w:tc>
      </w:tr>
      <w:tr>
        <w:tblPrEx>
          <w:tblLayout w:type="fixed"/>
          <w:tblCellMar>
            <w:top w:w="0" w:type="dxa"/>
            <w:left w:w="108" w:type="dxa"/>
            <w:bottom w:w="0" w:type="dxa"/>
            <w:right w:w="108" w:type="dxa"/>
          </w:tblCellMar>
        </w:tblPrEx>
        <w:trPr>
          <w:jc w:val="center"/>
        </w:trPr>
        <w:tc>
          <w:tcPr>
            <w:tcW w:w="2660" w:type="dxa"/>
            <w:vAlign w:val="center"/>
          </w:tcPr>
          <w:p>
            <w:pPr>
              <w:spacing w:line="300" w:lineRule="auto"/>
              <w:jc w:val="center"/>
              <w:rPr>
                <w:rFonts w:ascii="Times New Roman" w:hAnsi="Times New Roman"/>
                <w:szCs w:val="21"/>
              </w:rPr>
            </w:pPr>
            <w:r>
              <w:rPr>
                <w:rFonts w:ascii="Times New Roman" w:hAnsi="Times New Roman"/>
                <w:szCs w:val="21"/>
              </w:rPr>
              <w:t>5</w:t>
            </w:r>
          </w:p>
        </w:tc>
        <w:tc>
          <w:tcPr>
            <w:tcW w:w="2693" w:type="dxa"/>
            <w:vAlign w:val="center"/>
          </w:tcPr>
          <w:p>
            <w:pPr>
              <w:spacing w:line="300" w:lineRule="auto"/>
              <w:jc w:val="center"/>
              <w:rPr>
                <w:rFonts w:ascii="Times New Roman" w:hAnsi="Times New Roman"/>
                <w:szCs w:val="21"/>
              </w:rPr>
            </w:pPr>
            <w:r>
              <w:rPr>
                <w:rFonts w:ascii="Times New Roman" w:hAnsi="Times New Roman"/>
                <w:szCs w:val="21"/>
              </w:rPr>
              <w:t>10</w:t>
            </w:r>
          </w:p>
        </w:tc>
        <w:tc>
          <w:tcPr>
            <w:tcW w:w="2843" w:type="dxa"/>
            <w:vAlign w:val="center"/>
          </w:tcPr>
          <w:p>
            <w:pPr>
              <w:spacing w:line="300" w:lineRule="auto"/>
              <w:jc w:val="center"/>
              <w:rPr>
                <w:rFonts w:ascii="Times New Roman" w:hAnsi="Times New Roman"/>
                <w:szCs w:val="21"/>
              </w:rPr>
            </w:pPr>
            <w:r>
              <w:rPr>
                <w:rFonts w:ascii="Times New Roman" w:hAnsi="Times New Roman"/>
                <w:szCs w:val="21"/>
              </w:rPr>
              <w:t>90</w:t>
            </w:r>
          </w:p>
        </w:tc>
      </w:tr>
      <w:tr>
        <w:tblPrEx>
          <w:tblLayout w:type="fixed"/>
        </w:tblPrEx>
        <w:trPr>
          <w:jc w:val="center"/>
        </w:trPr>
        <w:tc>
          <w:tcPr>
            <w:tcW w:w="2660" w:type="dxa"/>
            <w:vAlign w:val="center"/>
          </w:tcPr>
          <w:p>
            <w:pPr>
              <w:spacing w:line="300" w:lineRule="auto"/>
              <w:jc w:val="center"/>
              <w:rPr>
                <w:rFonts w:ascii="Times New Roman" w:hAnsi="Times New Roman"/>
                <w:szCs w:val="21"/>
              </w:rPr>
            </w:pPr>
            <w:r>
              <w:rPr>
                <w:rFonts w:ascii="Times New Roman" w:hAnsi="Times New Roman"/>
                <w:szCs w:val="21"/>
              </w:rPr>
              <w:t>10</w:t>
            </w:r>
          </w:p>
        </w:tc>
        <w:tc>
          <w:tcPr>
            <w:tcW w:w="2693" w:type="dxa"/>
            <w:vAlign w:val="center"/>
          </w:tcPr>
          <w:p>
            <w:pPr>
              <w:spacing w:line="300" w:lineRule="auto"/>
              <w:jc w:val="center"/>
              <w:rPr>
                <w:rFonts w:ascii="Times New Roman" w:hAnsi="Times New Roman"/>
                <w:szCs w:val="21"/>
              </w:rPr>
            </w:pPr>
            <w:r>
              <w:rPr>
                <w:rFonts w:ascii="Times New Roman" w:hAnsi="Times New Roman"/>
                <w:szCs w:val="21"/>
              </w:rPr>
              <w:t>10</w:t>
            </w:r>
          </w:p>
        </w:tc>
        <w:tc>
          <w:tcPr>
            <w:tcW w:w="2843" w:type="dxa"/>
            <w:vAlign w:val="center"/>
          </w:tcPr>
          <w:p>
            <w:pPr>
              <w:spacing w:line="300" w:lineRule="auto"/>
              <w:jc w:val="center"/>
              <w:rPr>
                <w:rFonts w:ascii="Times New Roman" w:hAnsi="Times New Roman"/>
                <w:szCs w:val="21"/>
              </w:rPr>
            </w:pPr>
            <w:r>
              <w:rPr>
                <w:rFonts w:ascii="Times New Roman" w:hAnsi="Times New Roman"/>
                <w:szCs w:val="21"/>
              </w:rPr>
              <w:t>90</w:t>
            </w:r>
          </w:p>
        </w:tc>
      </w:tr>
      <w:tr>
        <w:tblPrEx>
          <w:tblLayout w:type="fixed"/>
          <w:tblCellMar>
            <w:top w:w="0" w:type="dxa"/>
            <w:left w:w="108" w:type="dxa"/>
            <w:bottom w:w="0" w:type="dxa"/>
            <w:right w:w="108" w:type="dxa"/>
          </w:tblCellMar>
        </w:tblPrEx>
        <w:trPr>
          <w:jc w:val="center"/>
        </w:trPr>
        <w:tc>
          <w:tcPr>
            <w:tcW w:w="2660" w:type="dxa"/>
            <w:vAlign w:val="center"/>
          </w:tcPr>
          <w:p>
            <w:pPr>
              <w:spacing w:line="300" w:lineRule="auto"/>
              <w:jc w:val="center"/>
              <w:rPr>
                <w:rFonts w:ascii="Times New Roman" w:hAnsi="Times New Roman"/>
                <w:szCs w:val="21"/>
              </w:rPr>
            </w:pPr>
            <w:r>
              <w:rPr>
                <w:rFonts w:ascii="Times New Roman" w:hAnsi="Times New Roman"/>
                <w:szCs w:val="21"/>
              </w:rPr>
              <w:t>10.1</w:t>
            </w:r>
          </w:p>
        </w:tc>
        <w:tc>
          <w:tcPr>
            <w:tcW w:w="2693" w:type="dxa"/>
            <w:vAlign w:val="center"/>
          </w:tcPr>
          <w:p>
            <w:pPr>
              <w:spacing w:line="300" w:lineRule="auto"/>
              <w:jc w:val="center"/>
              <w:rPr>
                <w:rFonts w:ascii="Times New Roman" w:hAnsi="Times New Roman"/>
                <w:szCs w:val="21"/>
              </w:rPr>
            </w:pPr>
            <w:r>
              <w:rPr>
                <w:rFonts w:ascii="Times New Roman" w:hAnsi="Times New Roman"/>
                <w:szCs w:val="21"/>
              </w:rPr>
              <w:t>90</w:t>
            </w:r>
          </w:p>
        </w:tc>
        <w:tc>
          <w:tcPr>
            <w:tcW w:w="2843" w:type="dxa"/>
            <w:vAlign w:val="center"/>
          </w:tcPr>
          <w:p>
            <w:pPr>
              <w:spacing w:line="300" w:lineRule="auto"/>
              <w:jc w:val="center"/>
              <w:rPr>
                <w:rFonts w:ascii="Times New Roman" w:hAnsi="Times New Roman"/>
                <w:szCs w:val="21"/>
              </w:rPr>
            </w:pPr>
            <w:r>
              <w:rPr>
                <w:rFonts w:ascii="Times New Roman" w:hAnsi="Times New Roman"/>
                <w:szCs w:val="21"/>
              </w:rPr>
              <w:t>10</w:t>
            </w:r>
          </w:p>
        </w:tc>
      </w:tr>
      <w:tr>
        <w:tblPrEx>
          <w:tblLayout w:type="fixed"/>
          <w:tblCellMar>
            <w:top w:w="0" w:type="dxa"/>
            <w:left w:w="108" w:type="dxa"/>
            <w:bottom w:w="0" w:type="dxa"/>
            <w:right w:w="108" w:type="dxa"/>
          </w:tblCellMar>
        </w:tblPrEx>
        <w:trPr>
          <w:trHeight w:val="80" w:hRule="atLeast"/>
          <w:jc w:val="center"/>
        </w:trPr>
        <w:tc>
          <w:tcPr>
            <w:tcW w:w="2660" w:type="dxa"/>
            <w:tcBorders>
              <w:top w:val="nil"/>
              <w:left w:val="nil"/>
              <w:bottom w:val="single" w:color="auto" w:sz="2" w:space="0"/>
              <w:right w:val="nil"/>
            </w:tcBorders>
            <w:vAlign w:val="center"/>
          </w:tcPr>
          <w:p>
            <w:pPr>
              <w:spacing w:line="300" w:lineRule="auto"/>
              <w:jc w:val="center"/>
              <w:rPr>
                <w:rFonts w:ascii="Times New Roman" w:hAnsi="Times New Roman"/>
                <w:szCs w:val="21"/>
              </w:rPr>
            </w:pPr>
            <w:r>
              <w:rPr>
                <w:rFonts w:ascii="Times New Roman" w:hAnsi="Times New Roman"/>
                <w:szCs w:val="21"/>
              </w:rPr>
              <w:t>12</w:t>
            </w:r>
          </w:p>
        </w:tc>
        <w:tc>
          <w:tcPr>
            <w:tcW w:w="2693" w:type="dxa"/>
            <w:tcBorders>
              <w:top w:val="nil"/>
              <w:left w:val="nil"/>
              <w:bottom w:val="single" w:color="auto" w:sz="2" w:space="0"/>
              <w:right w:val="nil"/>
            </w:tcBorders>
            <w:vAlign w:val="center"/>
          </w:tcPr>
          <w:p>
            <w:pPr>
              <w:spacing w:line="300" w:lineRule="auto"/>
              <w:jc w:val="center"/>
              <w:rPr>
                <w:rFonts w:ascii="Times New Roman" w:hAnsi="Times New Roman"/>
                <w:szCs w:val="21"/>
              </w:rPr>
            </w:pPr>
            <w:r>
              <w:rPr>
                <w:rFonts w:ascii="Times New Roman" w:hAnsi="Times New Roman"/>
                <w:szCs w:val="21"/>
              </w:rPr>
              <w:t>90</w:t>
            </w:r>
          </w:p>
        </w:tc>
        <w:tc>
          <w:tcPr>
            <w:tcW w:w="2843" w:type="dxa"/>
            <w:tcBorders>
              <w:top w:val="nil"/>
              <w:left w:val="nil"/>
              <w:bottom w:val="single" w:color="auto" w:sz="2" w:space="0"/>
              <w:right w:val="nil"/>
            </w:tcBorders>
            <w:vAlign w:val="center"/>
          </w:tcPr>
          <w:p>
            <w:pPr>
              <w:spacing w:line="300" w:lineRule="auto"/>
              <w:jc w:val="center"/>
              <w:rPr>
                <w:rFonts w:ascii="Times New Roman" w:hAnsi="Times New Roman"/>
                <w:szCs w:val="21"/>
              </w:rPr>
            </w:pPr>
            <w:r>
              <w:rPr>
                <w:rFonts w:ascii="Times New Roman" w:hAnsi="Times New Roman"/>
                <w:szCs w:val="21"/>
              </w:rPr>
              <w:t>10</w:t>
            </w:r>
          </w:p>
        </w:tc>
      </w:tr>
    </w:tbl>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流量：0.4 mL/min；</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 xml:space="preserve">柱温：35 </w:t>
      </w:r>
      <w:r>
        <w:rPr>
          <w:rFonts w:hint="eastAsia" w:ascii="宋体" w:hAnsi="宋体" w:cs="宋体"/>
          <w:szCs w:val="21"/>
        </w:rPr>
        <w:t>℃</w:t>
      </w:r>
      <w:r>
        <w:rPr>
          <w:rFonts w:ascii="Times New Roman" w:hAnsi="Times New Roman"/>
          <w:szCs w:val="21"/>
        </w:rPr>
        <w:t>；</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进样量：1 μL。</w:t>
      </w:r>
    </w:p>
    <w:p>
      <w:pPr>
        <w:snapToGrid w:val="0"/>
        <w:spacing w:before="156" w:beforeLines="50" w:after="156" w:afterLines="50" w:line="300" w:lineRule="auto"/>
        <w:rPr>
          <w:rFonts w:ascii="Times New Roman" w:hAnsi="Times New Roman"/>
          <w:szCs w:val="21"/>
        </w:rPr>
      </w:pPr>
      <w:r>
        <w:rPr>
          <w:rFonts w:ascii="Times New Roman" w:hAnsi="Times New Roman"/>
          <w:szCs w:val="21"/>
        </w:rPr>
        <w:t>A.3 参考质谱条件</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离子源：电喷雾离子源（ESI）；</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监测方式：多反应监测模式（MRM）；</w:t>
      </w:r>
    </w:p>
    <w:p>
      <w:pPr>
        <w:snapToGrid w:val="0"/>
        <w:spacing w:before="156" w:beforeLines="50" w:after="156" w:afterLines="50" w:line="300" w:lineRule="auto"/>
        <w:rPr>
          <w:rFonts w:ascii="Times New Roman" w:hAnsi="Times New Roman"/>
          <w:szCs w:val="21"/>
        </w:rPr>
      </w:pPr>
      <w:r>
        <w:rPr>
          <w:rFonts w:ascii="Times New Roman" w:hAnsi="Times New Roman"/>
          <w:szCs w:val="21"/>
        </w:rPr>
        <w:t xml:space="preserve">A.3.1  </w:t>
      </w:r>
      <w:r>
        <w:rPr>
          <w:rFonts w:ascii="Times New Roman" w:hAnsi="Times New Roman"/>
          <w:kern w:val="0"/>
          <w:szCs w:val="21"/>
        </w:rPr>
        <w:t>4,4'-双[(4-苯胺基-6-羟乙基氨基-1,3,5-三嗪-2-基)氨基]二苯乙烯-2,2'-二磺酸二钠盐</w:t>
      </w:r>
      <w:r>
        <w:rPr>
          <w:rFonts w:ascii="Times New Roman" w:hAnsi="Times New Roman"/>
          <w:szCs w:val="21"/>
        </w:rPr>
        <w:t>、联苯乙烯二苯基二磺酸二钠</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扫描方式：负离子扫描；</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 xml:space="preserve">离子源温度：550 </w:t>
      </w:r>
      <w:r>
        <w:rPr>
          <w:rFonts w:hint="eastAsia" w:ascii="宋体" w:hAnsi="宋体" w:cs="宋体"/>
          <w:szCs w:val="21"/>
        </w:rPr>
        <w:t>℃</w:t>
      </w:r>
      <w:r>
        <w:rPr>
          <w:rFonts w:ascii="Times New Roman" w:hAnsi="Times New Roman"/>
          <w:szCs w:val="21"/>
        </w:rPr>
        <w:t>；</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气帘气：20 psi；</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电离电压：-4500 V；</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喷雾气：55 psi；</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辅助加热气：55 psi；</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碰撞气：7 psi；</w:t>
      </w:r>
    </w:p>
    <w:p>
      <w:pPr>
        <w:snapToGrid w:val="0"/>
        <w:spacing w:before="156" w:beforeLines="50" w:after="156" w:afterLines="50" w:line="300" w:lineRule="auto"/>
        <w:rPr>
          <w:rFonts w:ascii="Times New Roman" w:hAnsi="Times New Roman"/>
          <w:szCs w:val="21"/>
        </w:rPr>
      </w:pPr>
      <w:r>
        <w:rPr>
          <w:rFonts w:ascii="Times New Roman" w:hAnsi="Times New Roman"/>
          <w:szCs w:val="21"/>
        </w:rPr>
        <w:t>A.3.2 二乙氨基甲基香豆素、双（叔丁基苯并噁唑基）噻吩、二苯并噁唑基萘</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扫描方式：正离子扫描；</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离子源温度：550</w:t>
      </w:r>
      <w:r>
        <w:rPr>
          <w:rFonts w:hint="eastAsia" w:ascii="宋体" w:hAnsi="宋体" w:cs="宋体"/>
          <w:szCs w:val="21"/>
        </w:rPr>
        <w:t>℃</w:t>
      </w:r>
      <w:r>
        <w:rPr>
          <w:rFonts w:ascii="Times New Roman" w:hAnsi="Times New Roman"/>
          <w:szCs w:val="21"/>
        </w:rPr>
        <w:t>；</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气帘气：20</w:t>
      </w:r>
      <w:r>
        <w:rPr>
          <w:rFonts w:hint="eastAsia" w:ascii="Times New Roman" w:hAnsi="Times New Roman"/>
          <w:szCs w:val="21"/>
        </w:rPr>
        <w:t xml:space="preserve"> </w:t>
      </w:r>
      <w:r>
        <w:rPr>
          <w:rFonts w:ascii="Times New Roman" w:hAnsi="Times New Roman"/>
          <w:szCs w:val="21"/>
        </w:rPr>
        <w:t>psi；</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电离电压：5500</w:t>
      </w:r>
      <w:r>
        <w:rPr>
          <w:rFonts w:hint="eastAsia" w:ascii="Times New Roman" w:hAnsi="Times New Roman"/>
          <w:szCs w:val="21"/>
        </w:rPr>
        <w:t xml:space="preserve"> </w:t>
      </w:r>
      <w:r>
        <w:rPr>
          <w:rFonts w:ascii="Times New Roman" w:hAnsi="Times New Roman"/>
          <w:szCs w:val="21"/>
        </w:rPr>
        <w:t>V；</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喷雾气：55</w:t>
      </w:r>
      <w:r>
        <w:rPr>
          <w:rFonts w:hint="eastAsia" w:ascii="Times New Roman" w:hAnsi="Times New Roman"/>
          <w:szCs w:val="21"/>
        </w:rPr>
        <w:t xml:space="preserve"> </w:t>
      </w:r>
      <w:r>
        <w:rPr>
          <w:rFonts w:ascii="Times New Roman" w:hAnsi="Times New Roman"/>
          <w:szCs w:val="21"/>
        </w:rPr>
        <w:t>psi；</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辅助加热气：55</w:t>
      </w:r>
      <w:r>
        <w:rPr>
          <w:rFonts w:hint="eastAsia" w:ascii="Times New Roman" w:hAnsi="Times New Roman"/>
          <w:szCs w:val="21"/>
        </w:rPr>
        <w:t xml:space="preserve"> </w:t>
      </w:r>
      <w:r>
        <w:rPr>
          <w:rFonts w:ascii="Times New Roman" w:hAnsi="Times New Roman"/>
          <w:szCs w:val="21"/>
        </w:rPr>
        <w:t>psi；</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碰撞气：7</w:t>
      </w:r>
      <w:r>
        <w:rPr>
          <w:rFonts w:hint="eastAsia" w:ascii="Times New Roman" w:hAnsi="Times New Roman"/>
          <w:szCs w:val="21"/>
        </w:rPr>
        <w:t xml:space="preserve"> </w:t>
      </w:r>
      <w:r>
        <w:rPr>
          <w:rFonts w:ascii="Times New Roman" w:hAnsi="Times New Roman"/>
          <w:szCs w:val="21"/>
        </w:rPr>
        <w:t>psi；</w:t>
      </w: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表A.2母离子、特征碎片离子、去簇电压及碰撞能</w:t>
      </w:r>
    </w:p>
    <w:tbl>
      <w:tblPr>
        <w:tblStyle w:val="15"/>
        <w:tblW w:w="9317"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2410"/>
        <w:gridCol w:w="1511"/>
        <w:gridCol w:w="2057"/>
        <w:gridCol w:w="1418"/>
        <w:gridCol w:w="121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709" w:type="dxa"/>
            <w:tcBorders>
              <w:top w:val="single" w:color="auto" w:sz="4" w:space="0"/>
              <w:bottom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编号</w:t>
            </w:r>
          </w:p>
        </w:tc>
        <w:tc>
          <w:tcPr>
            <w:tcW w:w="2410" w:type="dxa"/>
            <w:tcBorders>
              <w:top w:val="single" w:color="auto" w:sz="4" w:space="0"/>
              <w:bottom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原料名称</w:t>
            </w:r>
          </w:p>
        </w:tc>
        <w:tc>
          <w:tcPr>
            <w:tcW w:w="1511" w:type="dxa"/>
            <w:tcBorders>
              <w:top w:val="single" w:color="auto" w:sz="4" w:space="0"/>
              <w:bottom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母离子（m/z）</w:t>
            </w:r>
          </w:p>
        </w:tc>
        <w:tc>
          <w:tcPr>
            <w:tcW w:w="2057" w:type="dxa"/>
            <w:tcBorders>
              <w:top w:val="single" w:color="auto" w:sz="4" w:space="0"/>
              <w:bottom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特征碎片离子（m/z）</w:t>
            </w:r>
          </w:p>
        </w:tc>
        <w:tc>
          <w:tcPr>
            <w:tcW w:w="1418" w:type="dxa"/>
            <w:tcBorders>
              <w:top w:val="single" w:color="auto" w:sz="4" w:space="0"/>
              <w:bottom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去簇电压（V）</w:t>
            </w:r>
          </w:p>
        </w:tc>
        <w:tc>
          <w:tcPr>
            <w:tcW w:w="1212" w:type="dxa"/>
            <w:tcBorders>
              <w:top w:val="single" w:color="auto" w:sz="4" w:space="0"/>
              <w:bottom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碰撞能(V)</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709" w:type="dxa"/>
            <w:vMerge w:val="restart"/>
            <w:tcBorders>
              <w:top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1</w:t>
            </w:r>
          </w:p>
        </w:tc>
        <w:tc>
          <w:tcPr>
            <w:tcW w:w="2410" w:type="dxa"/>
            <w:vMerge w:val="restart"/>
            <w:tcBorders>
              <w:top w:val="single" w:color="auto" w:sz="4" w:space="0"/>
            </w:tcBorders>
            <w:vAlign w:val="center"/>
          </w:tcPr>
          <w:p>
            <w:pPr>
              <w:spacing w:line="300" w:lineRule="auto"/>
              <w:jc w:val="center"/>
              <w:rPr>
                <w:rFonts w:ascii="Times New Roman" w:hAnsi="Times New Roman"/>
                <w:szCs w:val="21"/>
              </w:rPr>
            </w:pPr>
            <w:r>
              <w:rPr>
                <w:rFonts w:ascii="Times New Roman" w:hAnsi="Times New Roman"/>
                <w:kern w:val="0"/>
                <w:szCs w:val="21"/>
              </w:rPr>
              <w:t>4,4'-双[(4-苯胺基-6-羟乙基氨基-1,3,5-三嗪-2-基)氨基]二苯乙烯-2,2'-二磺酸二钠盐</w:t>
            </w:r>
          </w:p>
        </w:tc>
        <w:tc>
          <w:tcPr>
            <w:tcW w:w="1511" w:type="dxa"/>
            <w:vMerge w:val="restart"/>
            <w:tcBorders>
              <w:top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413.2</w:t>
            </w:r>
          </w:p>
        </w:tc>
        <w:tc>
          <w:tcPr>
            <w:tcW w:w="2057" w:type="dxa"/>
            <w:tcBorders>
              <w:top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310.8*</w:t>
            </w:r>
          </w:p>
        </w:tc>
        <w:tc>
          <w:tcPr>
            <w:tcW w:w="1418" w:type="dxa"/>
            <w:tcBorders>
              <w:top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-205</w:t>
            </w:r>
          </w:p>
        </w:tc>
        <w:tc>
          <w:tcPr>
            <w:tcW w:w="1212" w:type="dxa"/>
            <w:tcBorders>
              <w:top w:val="single" w:color="auto" w:sz="4" w:space="0"/>
            </w:tcBorders>
            <w:vAlign w:val="center"/>
          </w:tcPr>
          <w:p>
            <w:pPr>
              <w:spacing w:line="300" w:lineRule="auto"/>
              <w:jc w:val="center"/>
              <w:rPr>
                <w:rFonts w:ascii="Times New Roman" w:hAnsi="Times New Roman"/>
                <w:szCs w:val="21"/>
              </w:rPr>
            </w:pPr>
            <w:r>
              <w:rPr>
                <w:rFonts w:ascii="Times New Roman" w:hAnsi="Times New Roman"/>
                <w:szCs w:val="21"/>
              </w:rPr>
              <w:t>-31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jc w:val="center"/>
        </w:trPr>
        <w:tc>
          <w:tcPr>
            <w:tcW w:w="709" w:type="dxa"/>
            <w:vMerge w:val="continue"/>
            <w:vAlign w:val="center"/>
          </w:tcPr>
          <w:p>
            <w:pPr>
              <w:spacing w:line="300" w:lineRule="auto"/>
              <w:jc w:val="center"/>
              <w:rPr>
                <w:rFonts w:ascii="Times New Roman" w:hAnsi="Times New Roman"/>
                <w:szCs w:val="21"/>
              </w:rPr>
            </w:pPr>
          </w:p>
        </w:tc>
        <w:tc>
          <w:tcPr>
            <w:tcW w:w="2410" w:type="dxa"/>
            <w:vMerge w:val="continue"/>
            <w:vAlign w:val="center"/>
          </w:tcPr>
          <w:p>
            <w:pPr>
              <w:spacing w:line="300" w:lineRule="auto"/>
              <w:jc w:val="center"/>
              <w:rPr>
                <w:rFonts w:ascii="Times New Roman" w:hAnsi="Times New Roman"/>
                <w:szCs w:val="21"/>
              </w:rPr>
            </w:pPr>
          </w:p>
        </w:tc>
        <w:tc>
          <w:tcPr>
            <w:tcW w:w="1511" w:type="dxa"/>
            <w:vMerge w:val="continue"/>
            <w:vAlign w:val="center"/>
          </w:tcPr>
          <w:p>
            <w:pPr>
              <w:spacing w:line="300" w:lineRule="auto"/>
              <w:jc w:val="center"/>
              <w:rPr>
                <w:rFonts w:ascii="Times New Roman" w:hAnsi="Times New Roman"/>
                <w:szCs w:val="21"/>
              </w:rPr>
            </w:pPr>
          </w:p>
        </w:tc>
        <w:tc>
          <w:tcPr>
            <w:tcW w:w="2057" w:type="dxa"/>
            <w:vAlign w:val="center"/>
          </w:tcPr>
          <w:p>
            <w:pPr>
              <w:spacing w:line="300" w:lineRule="auto"/>
              <w:jc w:val="center"/>
              <w:rPr>
                <w:rFonts w:ascii="Times New Roman" w:hAnsi="Times New Roman"/>
                <w:szCs w:val="21"/>
              </w:rPr>
            </w:pPr>
            <w:r>
              <w:rPr>
                <w:rFonts w:ascii="Times New Roman" w:hAnsi="Times New Roman"/>
                <w:szCs w:val="21"/>
              </w:rPr>
              <w:t>271.2</w:t>
            </w:r>
          </w:p>
        </w:tc>
        <w:tc>
          <w:tcPr>
            <w:tcW w:w="1418" w:type="dxa"/>
            <w:vAlign w:val="center"/>
          </w:tcPr>
          <w:p>
            <w:pPr>
              <w:spacing w:line="300" w:lineRule="auto"/>
              <w:jc w:val="center"/>
              <w:rPr>
                <w:rFonts w:ascii="Times New Roman" w:hAnsi="Times New Roman"/>
                <w:szCs w:val="21"/>
              </w:rPr>
            </w:pPr>
            <w:r>
              <w:rPr>
                <w:rFonts w:ascii="Times New Roman" w:hAnsi="Times New Roman"/>
                <w:szCs w:val="21"/>
              </w:rPr>
              <w:t>-205</w:t>
            </w:r>
          </w:p>
        </w:tc>
        <w:tc>
          <w:tcPr>
            <w:tcW w:w="1212" w:type="dxa"/>
            <w:vAlign w:val="center"/>
          </w:tcPr>
          <w:p>
            <w:pPr>
              <w:spacing w:line="300" w:lineRule="auto"/>
              <w:jc w:val="center"/>
              <w:rPr>
                <w:rFonts w:ascii="Times New Roman" w:hAnsi="Times New Roman"/>
                <w:szCs w:val="21"/>
              </w:rPr>
            </w:pPr>
            <w:r>
              <w:rPr>
                <w:rFonts w:ascii="Times New Roman" w:hAnsi="Times New Roman"/>
                <w:szCs w:val="21"/>
              </w:rPr>
              <w:t>-35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jc w:val="center"/>
        </w:trPr>
        <w:tc>
          <w:tcPr>
            <w:tcW w:w="709" w:type="dxa"/>
            <w:vMerge w:val="restart"/>
            <w:vAlign w:val="center"/>
          </w:tcPr>
          <w:p>
            <w:pPr>
              <w:spacing w:line="300" w:lineRule="auto"/>
              <w:jc w:val="center"/>
              <w:rPr>
                <w:rFonts w:ascii="Times New Roman" w:hAnsi="Times New Roman"/>
                <w:szCs w:val="21"/>
              </w:rPr>
            </w:pPr>
            <w:r>
              <w:rPr>
                <w:rFonts w:ascii="Times New Roman" w:hAnsi="Times New Roman"/>
                <w:szCs w:val="21"/>
              </w:rPr>
              <w:t>2</w:t>
            </w:r>
          </w:p>
        </w:tc>
        <w:tc>
          <w:tcPr>
            <w:tcW w:w="2410" w:type="dxa"/>
            <w:vMerge w:val="restart"/>
            <w:vAlign w:val="center"/>
          </w:tcPr>
          <w:p>
            <w:pPr>
              <w:spacing w:line="300" w:lineRule="auto"/>
              <w:jc w:val="center"/>
              <w:rPr>
                <w:rFonts w:ascii="Times New Roman" w:hAnsi="Times New Roman"/>
                <w:szCs w:val="21"/>
              </w:rPr>
            </w:pPr>
            <w:r>
              <w:rPr>
                <w:rFonts w:ascii="Times New Roman" w:hAnsi="Times New Roman"/>
                <w:szCs w:val="21"/>
              </w:rPr>
              <w:t>联苯乙烯二苯基二磺酸二钠</w:t>
            </w:r>
          </w:p>
        </w:tc>
        <w:tc>
          <w:tcPr>
            <w:tcW w:w="1511" w:type="dxa"/>
            <w:vMerge w:val="restart"/>
            <w:vAlign w:val="center"/>
          </w:tcPr>
          <w:p>
            <w:pPr>
              <w:spacing w:line="300" w:lineRule="auto"/>
              <w:jc w:val="center"/>
              <w:rPr>
                <w:rFonts w:ascii="Times New Roman" w:hAnsi="Times New Roman"/>
                <w:szCs w:val="21"/>
              </w:rPr>
            </w:pPr>
            <w:r>
              <w:rPr>
                <w:rFonts w:ascii="Times New Roman" w:hAnsi="Times New Roman"/>
                <w:szCs w:val="21"/>
              </w:rPr>
              <w:t>258.2</w:t>
            </w:r>
          </w:p>
        </w:tc>
        <w:tc>
          <w:tcPr>
            <w:tcW w:w="2057" w:type="dxa"/>
            <w:vAlign w:val="center"/>
          </w:tcPr>
          <w:p>
            <w:pPr>
              <w:spacing w:line="300" w:lineRule="auto"/>
              <w:jc w:val="center"/>
              <w:rPr>
                <w:rFonts w:ascii="Times New Roman" w:hAnsi="Times New Roman"/>
                <w:szCs w:val="21"/>
              </w:rPr>
            </w:pPr>
            <w:r>
              <w:rPr>
                <w:rFonts w:ascii="Times New Roman" w:hAnsi="Times New Roman"/>
                <w:szCs w:val="21"/>
              </w:rPr>
              <w:t>226.0*</w:t>
            </w:r>
          </w:p>
        </w:tc>
        <w:tc>
          <w:tcPr>
            <w:tcW w:w="1418" w:type="dxa"/>
            <w:vAlign w:val="center"/>
          </w:tcPr>
          <w:p>
            <w:pPr>
              <w:spacing w:line="300" w:lineRule="auto"/>
              <w:jc w:val="center"/>
              <w:rPr>
                <w:rFonts w:ascii="Times New Roman" w:hAnsi="Times New Roman"/>
                <w:szCs w:val="21"/>
              </w:rPr>
            </w:pPr>
            <w:r>
              <w:rPr>
                <w:rFonts w:ascii="Times New Roman" w:hAnsi="Times New Roman"/>
                <w:szCs w:val="21"/>
              </w:rPr>
              <w:t>-125</w:t>
            </w:r>
          </w:p>
        </w:tc>
        <w:tc>
          <w:tcPr>
            <w:tcW w:w="1212" w:type="dxa"/>
            <w:vAlign w:val="center"/>
          </w:tcPr>
          <w:p>
            <w:pPr>
              <w:spacing w:line="300" w:lineRule="auto"/>
              <w:jc w:val="center"/>
              <w:rPr>
                <w:rFonts w:ascii="Times New Roman" w:hAnsi="Times New Roman"/>
                <w:szCs w:val="21"/>
              </w:rPr>
            </w:pPr>
            <w:r>
              <w:rPr>
                <w:rFonts w:ascii="Times New Roman" w:hAnsi="Times New Roman"/>
                <w:szCs w:val="21"/>
              </w:rPr>
              <w:t>-25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trHeight w:val="316" w:hRule="atLeast"/>
          <w:jc w:val="center"/>
        </w:trPr>
        <w:tc>
          <w:tcPr>
            <w:tcW w:w="709" w:type="dxa"/>
            <w:vMerge w:val="continue"/>
            <w:vAlign w:val="center"/>
          </w:tcPr>
          <w:p>
            <w:pPr>
              <w:spacing w:line="300" w:lineRule="auto"/>
              <w:jc w:val="center"/>
              <w:rPr>
                <w:rFonts w:ascii="Times New Roman" w:hAnsi="Times New Roman"/>
                <w:szCs w:val="21"/>
              </w:rPr>
            </w:pPr>
          </w:p>
        </w:tc>
        <w:tc>
          <w:tcPr>
            <w:tcW w:w="2410" w:type="dxa"/>
            <w:vMerge w:val="continue"/>
            <w:vAlign w:val="center"/>
          </w:tcPr>
          <w:p>
            <w:pPr>
              <w:spacing w:line="300" w:lineRule="auto"/>
              <w:jc w:val="center"/>
              <w:rPr>
                <w:rFonts w:ascii="Times New Roman" w:hAnsi="Times New Roman"/>
                <w:szCs w:val="21"/>
              </w:rPr>
            </w:pPr>
          </w:p>
        </w:tc>
        <w:tc>
          <w:tcPr>
            <w:tcW w:w="1511" w:type="dxa"/>
            <w:vMerge w:val="continue"/>
            <w:vAlign w:val="center"/>
          </w:tcPr>
          <w:p>
            <w:pPr>
              <w:spacing w:line="300" w:lineRule="auto"/>
              <w:jc w:val="center"/>
              <w:rPr>
                <w:rFonts w:ascii="Times New Roman" w:hAnsi="Times New Roman"/>
                <w:szCs w:val="21"/>
              </w:rPr>
            </w:pPr>
          </w:p>
        </w:tc>
        <w:tc>
          <w:tcPr>
            <w:tcW w:w="2057" w:type="dxa"/>
            <w:vAlign w:val="center"/>
          </w:tcPr>
          <w:p>
            <w:pPr>
              <w:spacing w:line="300" w:lineRule="auto"/>
              <w:jc w:val="center"/>
              <w:rPr>
                <w:rFonts w:ascii="Times New Roman" w:hAnsi="Times New Roman"/>
                <w:szCs w:val="21"/>
              </w:rPr>
            </w:pPr>
            <w:r>
              <w:rPr>
                <w:rFonts w:ascii="Times New Roman" w:hAnsi="Times New Roman"/>
                <w:szCs w:val="21"/>
              </w:rPr>
              <w:t>79.8</w:t>
            </w:r>
          </w:p>
        </w:tc>
        <w:tc>
          <w:tcPr>
            <w:tcW w:w="1418" w:type="dxa"/>
            <w:vAlign w:val="center"/>
          </w:tcPr>
          <w:p>
            <w:pPr>
              <w:spacing w:line="300" w:lineRule="auto"/>
              <w:jc w:val="center"/>
              <w:rPr>
                <w:rFonts w:ascii="Times New Roman" w:hAnsi="Times New Roman"/>
                <w:szCs w:val="21"/>
              </w:rPr>
            </w:pPr>
            <w:r>
              <w:rPr>
                <w:rFonts w:ascii="Times New Roman" w:hAnsi="Times New Roman"/>
                <w:szCs w:val="21"/>
              </w:rPr>
              <w:t>-125</w:t>
            </w:r>
          </w:p>
        </w:tc>
        <w:tc>
          <w:tcPr>
            <w:tcW w:w="1212" w:type="dxa"/>
            <w:vAlign w:val="center"/>
          </w:tcPr>
          <w:p>
            <w:pPr>
              <w:spacing w:line="300" w:lineRule="auto"/>
              <w:jc w:val="center"/>
              <w:rPr>
                <w:rFonts w:ascii="Times New Roman" w:hAnsi="Times New Roman"/>
                <w:szCs w:val="21"/>
              </w:rPr>
            </w:pPr>
            <w:r>
              <w:rPr>
                <w:rFonts w:ascii="Times New Roman" w:hAnsi="Times New Roman"/>
                <w:szCs w:val="21"/>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jc w:val="center"/>
        </w:trPr>
        <w:tc>
          <w:tcPr>
            <w:tcW w:w="709" w:type="dxa"/>
            <w:vMerge w:val="restart"/>
            <w:vAlign w:val="center"/>
          </w:tcPr>
          <w:p>
            <w:pPr>
              <w:spacing w:line="300" w:lineRule="auto"/>
              <w:jc w:val="center"/>
              <w:rPr>
                <w:rFonts w:ascii="Times New Roman" w:hAnsi="Times New Roman"/>
                <w:szCs w:val="21"/>
              </w:rPr>
            </w:pPr>
            <w:r>
              <w:rPr>
                <w:rFonts w:ascii="Times New Roman" w:hAnsi="Times New Roman"/>
                <w:szCs w:val="21"/>
              </w:rPr>
              <w:t>3</w:t>
            </w:r>
          </w:p>
        </w:tc>
        <w:tc>
          <w:tcPr>
            <w:tcW w:w="2410" w:type="dxa"/>
            <w:vMerge w:val="restart"/>
            <w:vAlign w:val="center"/>
          </w:tcPr>
          <w:p>
            <w:pPr>
              <w:spacing w:line="300" w:lineRule="auto"/>
              <w:jc w:val="center"/>
              <w:rPr>
                <w:rFonts w:ascii="Times New Roman" w:hAnsi="Times New Roman"/>
                <w:szCs w:val="21"/>
              </w:rPr>
            </w:pPr>
            <w:r>
              <w:rPr>
                <w:rFonts w:ascii="Times New Roman" w:hAnsi="Times New Roman"/>
                <w:szCs w:val="21"/>
              </w:rPr>
              <w:t>二乙氨基甲基香豆素</w:t>
            </w:r>
          </w:p>
        </w:tc>
        <w:tc>
          <w:tcPr>
            <w:tcW w:w="1511" w:type="dxa"/>
            <w:vMerge w:val="restart"/>
            <w:vAlign w:val="center"/>
          </w:tcPr>
          <w:p>
            <w:pPr>
              <w:spacing w:line="300" w:lineRule="auto"/>
              <w:jc w:val="center"/>
              <w:rPr>
                <w:rFonts w:ascii="Times New Roman" w:hAnsi="Times New Roman"/>
                <w:szCs w:val="21"/>
              </w:rPr>
            </w:pPr>
            <w:r>
              <w:rPr>
                <w:rFonts w:ascii="Times New Roman" w:hAnsi="Times New Roman"/>
                <w:szCs w:val="21"/>
              </w:rPr>
              <w:t>232.1</w:t>
            </w:r>
          </w:p>
        </w:tc>
        <w:tc>
          <w:tcPr>
            <w:tcW w:w="2057" w:type="dxa"/>
            <w:vAlign w:val="center"/>
          </w:tcPr>
          <w:p>
            <w:pPr>
              <w:spacing w:line="300" w:lineRule="auto"/>
              <w:jc w:val="center"/>
              <w:rPr>
                <w:rFonts w:ascii="Times New Roman" w:hAnsi="Times New Roman"/>
                <w:szCs w:val="21"/>
              </w:rPr>
            </w:pPr>
            <w:r>
              <w:rPr>
                <w:rFonts w:ascii="Times New Roman" w:hAnsi="Times New Roman"/>
                <w:szCs w:val="21"/>
              </w:rPr>
              <w:t>188.1*</w:t>
            </w:r>
          </w:p>
        </w:tc>
        <w:tc>
          <w:tcPr>
            <w:tcW w:w="1418" w:type="dxa"/>
            <w:vAlign w:val="center"/>
          </w:tcPr>
          <w:p>
            <w:pPr>
              <w:spacing w:line="300" w:lineRule="auto"/>
              <w:ind w:firstLine="105" w:firstLineChars="50"/>
              <w:jc w:val="center"/>
              <w:rPr>
                <w:rFonts w:ascii="Times New Roman" w:hAnsi="Times New Roman"/>
                <w:szCs w:val="21"/>
              </w:rPr>
            </w:pPr>
            <w:r>
              <w:rPr>
                <w:rFonts w:ascii="Times New Roman" w:hAnsi="Times New Roman"/>
                <w:szCs w:val="21"/>
              </w:rPr>
              <w:t>150</w:t>
            </w:r>
          </w:p>
        </w:tc>
        <w:tc>
          <w:tcPr>
            <w:tcW w:w="1212" w:type="dxa"/>
            <w:vAlign w:val="center"/>
          </w:tcPr>
          <w:p>
            <w:pPr>
              <w:spacing w:line="300" w:lineRule="auto"/>
              <w:ind w:firstLine="105" w:firstLineChars="50"/>
              <w:jc w:val="center"/>
              <w:rPr>
                <w:rFonts w:ascii="Times New Roman" w:hAnsi="Times New Roman"/>
                <w:szCs w:val="21"/>
              </w:rPr>
            </w:pPr>
            <w:r>
              <w:rPr>
                <w:rFonts w:ascii="Times New Roman" w:hAnsi="Times New Roman"/>
                <w:szCs w:val="21"/>
              </w:rPr>
              <w:t>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jc w:val="center"/>
        </w:trPr>
        <w:tc>
          <w:tcPr>
            <w:tcW w:w="709" w:type="dxa"/>
            <w:vMerge w:val="continue"/>
            <w:vAlign w:val="center"/>
          </w:tcPr>
          <w:p>
            <w:pPr>
              <w:spacing w:line="300" w:lineRule="auto"/>
              <w:jc w:val="center"/>
              <w:rPr>
                <w:rFonts w:ascii="Times New Roman" w:hAnsi="Times New Roman"/>
                <w:szCs w:val="21"/>
              </w:rPr>
            </w:pPr>
          </w:p>
        </w:tc>
        <w:tc>
          <w:tcPr>
            <w:tcW w:w="2410" w:type="dxa"/>
            <w:vMerge w:val="continue"/>
            <w:vAlign w:val="center"/>
          </w:tcPr>
          <w:p>
            <w:pPr>
              <w:spacing w:line="300" w:lineRule="auto"/>
              <w:jc w:val="center"/>
              <w:rPr>
                <w:rFonts w:ascii="Times New Roman" w:hAnsi="Times New Roman"/>
                <w:szCs w:val="21"/>
              </w:rPr>
            </w:pPr>
          </w:p>
        </w:tc>
        <w:tc>
          <w:tcPr>
            <w:tcW w:w="1511" w:type="dxa"/>
            <w:vMerge w:val="continue"/>
            <w:vAlign w:val="center"/>
          </w:tcPr>
          <w:p>
            <w:pPr>
              <w:spacing w:line="300" w:lineRule="auto"/>
              <w:jc w:val="center"/>
              <w:rPr>
                <w:rFonts w:ascii="Times New Roman" w:hAnsi="Times New Roman"/>
                <w:szCs w:val="21"/>
              </w:rPr>
            </w:pPr>
          </w:p>
        </w:tc>
        <w:tc>
          <w:tcPr>
            <w:tcW w:w="2057" w:type="dxa"/>
            <w:vAlign w:val="center"/>
          </w:tcPr>
          <w:p>
            <w:pPr>
              <w:spacing w:line="300" w:lineRule="auto"/>
              <w:jc w:val="center"/>
              <w:rPr>
                <w:rFonts w:ascii="Times New Roman" w:hAnsi="Times New Roman"/>
                <w:szCs w:val="21"/>
              </w:rPr>
            </w:pPr>
            <w:r>
              <w:rPr>
                <w:rFonts w:ascii="Times New Roman" w:hAnsi="Times New Roman"/>
                <w:szCs w:val="21"/>
              </w:rPr>
              <w:t>203.1</w:t>
            </w:r>
          </w:p>
        </w:tc>
        <w:tc>
          <w:tcPr>
            <w:tcW w:w="1418" w:type="dxa"/>
            <w:vAlign w:val="center"/>
          </w:tcPr>
          <w:p>
            <w:pPr>
              <w:spacing w:line="300" w:lineRule="auto"/>
              <w:ind w:firstLine="105" w:firstLineChars="50"/>
              <w:jc w:val="center"/>
              <w:rPr>
                <w:rFonts w:ascii="Times New Roman" w:hAnsi="Times New Roman"/>
                <w:szCs w:val="21"/>
              </w:rPr>
            </w:pPr>
            <w:r>
              <w:rPr>
                <w:rFonts w:ascii="Times New Roman" w:hAnsi="Times New Roman"/>
                <w:szCs w:val="21"/>
              </w:rPr>
              <w:t>150</w:t>
            </w:r>
          </w:p>
        </w:tc>
        <w:tc>
          <w:tcPr>
            <w:tcW w:w="1212" w:type="dxa"/>
            <w:vAlign w:val="center"/>
          </w:tcPr>
          <w:p>
            <w:pPr>
              <w:spacing w:line="300" w:lineRule="auto"/>
              <w:ind w:firstLine="105" w:firstLineChars="50"/>
              <w:jc w:val="center"/>
              <w:rPr>
                <w:rFonts w:ascii="Times New Roman" w:hAnsi="Times New Roman"/>
                <w:szCs w:val="21"/>
              </w:rPr>
            </w:pPr>
            <w:r>
              <w:rPr>
                <w:rFonts w:ascii="Times New Roman" w:hAnsi="Times New Roman"/>
                <w:szCs w:val="21"/>
              </w:rPr>
              <w:t>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jc w:val="center"/>
        </w:trPr>
        <w:tc>
          <w:tcPr>
            <w:tcW w:w="709" w:type="dxa"/>
            <w:vAlign w:val="center"/>
          </w:tcPr>
          <w:p>
            <w:pPr>
              <w:spacing w:line="300" w:lineRule="auto"/>
              <w:jc w:val="center"/>
              <w:rPr>
                <w:rFonts w:ascii="Times New Roman" w:hAnsi="Times New Roman"/>
                <w:szCs w:val="21"/>
              </w:rPr>
            </w:pPr>
            <w:r>
              <w:rPr>
                <w:rFonts w:ascii="Times New Roman" w:hAnsi="Times New Roman"/>
                <w:szCs w:val="21"/>
              </w:rPr>
              <w:t>4</w:t>
            </w:r>
          </w:p>
        </w:tc>
        <w:tc>
          <w:tcPr>
            <w:tcW w:w="2410" w:type="dxa"/>
            <w:vAlign w:val="center"/>
          </w:tcPr>
          <w:p>
            <w:pPr>
              <w:spacing w:line="300" w:lineRule="auto"/>
              <w:jc w:val="center"/>
              <w:rPr>
                <w:rFonts w:ascii="Times New Roman" w:hAnsi="Times New Roman"/>
                <w:szCs w:val="21"/>
              </w:rPr>
            </w:pPr>
            <w:r>
              <w:rPr>
                <w:rFonts w:ascii="Times New Roman" w:hAnsi="Times New Roman"/>
                <w:szCs w:val="21"/>
              </w:rPr>
              <w:t>双（叔丁基苯并噁唑基）噻吩</w:t>
            </w:r>
          </w:p>
        </w:tc>
        <w:tc>
          <w:tcPr>
            <w:tcW w:w="1511" w:type="dxa"/>
            <w:vAlign w:val="center"/>
          </w:tcPr>
          <w:p>
            <w:pPr>
              <w:spacing w:line="300" w:lineRule="auto"/>
              <w:jc w:val="center"/>
              <w:rPr>
                <w:rFonts w:ascii="Times New Roman" w:hAnsi="Times New Roman"/>
                <w:szCs w:val="21"/>
              </w:rPr>
            </w:pPr>
            <w:r>
              <w:rPr>
                <w:rFonts w:ascii="Times New Roman" w:hAnsi="Times New Roman"/>
                <w:szCs w:val="21"/>
              </w:rPr>
              <w:t>431.3</w:t>
            </w:r>
          </w:p>
        </w:tc>
        <w:tc>
          <w:tcPr>
            <w:tcW w:w="2057" w:type="dxa"/>
            <w:vAlign w:val="center"/>
          </w:tcPr>
          <w:p>
            <w:pPr>
              <w:spacing w:line="300" w:lineRule="auto"/>
              <w:jc w:val="center"/>
              <w:rPr>
                <w:rFonts w:ascii="Times New Roman" w:hAnsi="Times New Roman"/>
                <w:szCs w:val="21"/>
              </w:rPr>
            </w:pPr>
            <w:r>
              <w:rPr>
                <w:rFonts w:ascii="Times New Roman" w:hAnsi="Times New Roman"/>
                <w:szCs w:val="21"/>
              </w:rPr>
              <w:t>415.2*</w:t>
            </w:r>
          </w:p>
        </w:tc>
        <w:tc>
          <w:tcPr>
            <w:tcW w:w="1418" w:type="dxa"/>
            <w:vAlign w:val="center"/>
          </w:tcPr>
          <w:p>
            <w:pPr>
              <w:spacing w:line="300" w:lineRule="auto"/>
              <w:jc w:val="center"/>
              <w:rPr>
                <w:rFonts w:ascii="Times New Roman" w:hAnsi="Times New Roman"/>
                <w:szCs w:val="21"/>
              </w:rPr>
            </w:pPr>
            <w:r>
              <w:rPr>
                <w:rFonts w:ascii="Times New Roman" w:hAnsi="Times New Roman"/>
                <w:szCs w:val="21"/>
              </w:rPr>
              <w:t>220</w:t>
            </w:r>
          </w:p>
        </w:tc>
        <w:tc>
          <w:tcPr>
            <w:tcW w:w="1212" w:type="dxa"/>
            <w:vAlign w:val="center"/>
          </w:tcPr>
          <w:p>
            <w:pPr>
              <w:spacing w:line="300" w:lineRule="auto"/>
              <w:jc w:val="center"/>
              <w:rPr>
                <w:rFonts w:ascii="Times New Roman" w:hAnsi="Times New Roman"/>
                <w:szCs w:val="21"/>
              </w:rPr>
            </w:pPr>
            <w:r>
              <w:rPr>
                <w:rFonts w:ascii="Times New Roman" w:hAnsi="Times New Roman"/>
                <w:szCs w:val="21"/>
              </w:rPr>
              <w:t>55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jc w:val="center"/>
        </w:trPr>
        <w:tc>
          <w:tcPr>
            <w:tcW w:w="709" w:type="dxa"/>
            <w:vMerge w:val="restart"/>
            <w:vAlign w:val="center"/>
          </w:tcPr>
          <w:p>
            <w:pPr>
              <w:spacing w:line="300" w:lineRule="auto"/>
              <w:jc w:val="center"/>
              <w:rPr>
                <w:rFonts w:ascii="Times New Roman" w:hAnsi="Times New Roman"/>
                <w:szCs w:val="21"/>
              </w:rPr>
            </w:pPr>
            <w:r>
              <w:rPr>
                <w:rFonts w:ascii="Times New Roman" w:hAnsi="Times New Roman"/>
                <w:szCs w:val="21"/>
              </w:rPr>
              <w:t>5</w:t>
            </w:r>
          </w:p>
        </w:tc>
        <w:tc>
          <w:tcPr>
            <w:tcW w:w="2410" w:type="dxa"/>
            <w:vMerge w:val="restart"/>
            <w:vAlign w:val="center"/>
          </w:tcPr>
          <w:p>
            <w:pPr>
              <w:spacing w:line="300" w:lineRule="auto"/>
              <w:jc w:val="center"/>
              <w:rPr>
                <w:rFonts w:ascii="Times New Roman" w:hAnsi="Times New Roman"/>
                <w:szCs w:val="21"/>
              </w:rPr>
            </w:pPr>
            <w:r>
              <w:rPr>
                <w:rFonts w:ascii="Times New Roman" w:hAnsi="Times New Roman"/>
                <w:szCs w:val="21"/>
              </w:rPr>
              <w:t>二苯并噁唑基萘</w:t>
            </w:r>
          </w:p>
        </w:tc>
        <w:tc>
          <w:tcPr>
            <w:tcW w:w="1511" w:type="dxa"/>
            <w:vMerge w:val="restart"/>
            <w:vAlign w:val="center"/>
          </w:tcPr>
          <w:p>
            <w:pPr>
              <w:spacing w:line="300" w:lineRule="auto"/>
              <w:jc w:val="center"/>
              <w:rPr>
                <w:rFonts w:ascii="Times New Roman" w:hAnsi="Times New Roman"/>
                <w:szCs w:val="21"/>
              </w:rPr>
            </w:pPr>
            <w:r>
              <w:rPr>
                <w:rFonts w:ascii="Times New Roman" w:hAnsi="Times New Roman"/>
                <w:szCs w:val="21"/>
              </w:rPr>
              <w:t>363.1</w:t>
            </w:r>
          </w:p>
        </w:tc>
        <w:tc>
          <w:tcPr>
            <w:tcW w:w="2057" w:type="dxa"/>
            <w:vAlign w:val="center"/>
          </w:tcPr>
          <w:p>
            <w:pPr>
              <w:spacing w:line="300" w:lineRule="auto"/>
              <w:jc w:val="center"/>
              <w:rPr>
                <w:rFonts w:ascii="Times New Roman" w:hAnsi="Times New Roman"/>
                <w:szCs w:val="21"/>
              </w:rPr>
            </w:pPr>
            <w:r>
              <w:rPr>
                <w:rFonts w:ascii="Times New Roman" w:hAnsi="Times New Roman"/>
                <w:szCs w:val="21"/>
              </w:rPr>
              <w:t>401.2</w:t>
            </w:r>
          </w:p>
        </w:tc>
        <w:tc>
          <w:tcPr>
            <w:tcW w:w="1418" w:type="dxa"/>
            <w:vAlign w:val="center"/>
          </w:tcPr>
          <w:p>
            <w:pPr>
              <w:spacing w:line="300" w:lineRule="auto"/>
              <w:jc w:val="center"/>
              <w:rPr>
                <w:rFonts w:ascii="Times New Roman" w:hAnsi="Times New Roman"/>
                <w:szCs w:val="21"/>
              </w:rPr>
            </w:pPr>
            <w:r>
              <w:rPr>
                <w:rFonts w:ascii="Times New Roman" w:hAnsi="Times New Roman"/>
                <w:szCs w:val="21"/>
              </w:rPr>
              <w:t>220</w:t>
            </w:r>
          </w:p>
        </w:tc>
        <w:tc>
          <w:tcPr>
            <w:tcW w:w="1212" w:type="dxa"/>
            <w:vAlign w:val="center"/>
          </w:tcPr>
          <w:p>
            <w:pPr>
              <w:spacing w:line="300" w:lineRule="auto"/>
              <w:jc w:val="center"/>
              <w:rPr>
                <w:rFonts w:ascii="Times New Roman" w:hAnsi="Times New Roman"/>
                <w:szCs w:val="21"/>
              </w:rPr>
            </w:pPr>
            <w:r>
              <w:rPr>
                <w:rFonts w:ascii="Times New Roman" w:hAnsi="Times New Roman"/>
                <w:szCs w:val="21"/>
              </w:rPr>
              <w:t>54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trHeight w:val="316" w:hRule="atLeast"/>
          <w:jc w:val="center"/>
        </w:trPr>
        <w:tc>
          <w:tcPr>
            <w:tcW w:w="709" w:type="dxa"/>
            <w:vMerge w:val="continue"/>
            <w:vAlign w:val="center"/>
          </w:tcPr>
          <w:p>
            <w:pPr>
              <w:spacing w:line="300" w:lineRule="auto"/>
              <w:jc w:val="center"/>
              <w:rPr>
                <w:rFonts w:ascii="Times New Roman" w:hAnsi="Times New Roman"/>
                <w:szCs w:val="21"/>
              </w:rPr>
            </w:pPr>
          </w:p>
        </w:tc>
        <w:tc>
          <w:tcPr>
            <w:tcW w:w="2410" w:type="dxa"/>
            <w:vMerge w:val="continue"/>
            <w:vAlign w:val="center"/>
          </w:tcPr>
          <w:p>
            <w:pPr>
              <w:spacing w:line="300" w:lineRule="auto"/>
              <w:jc w:val="center"/>
              <w:rPr>
                <w:rFonts w:ascii="Times New Roman" w:hAnsi="Times New Roman"/>
                <w:szCs w:val="21"/>
              </w:rPr>
            </w:pPr>
          </w:p>
        </w:tc>
        <w:tc>
          <w:tcPr>
            <w:tcW w:w="1511" w:type="dxa"/>
            <w:vMerge w:val="continue"/>
            <w:vAlign w:val="center"/>
          </w:tcPr>
          <w:p>
            <w:pPr>
              <w:spacing w:line="300" w:lineRule="auto"/>
              <w:jc w:val="center"/>
              <w:rPr>
                <w:rFonts w:ascii="Times New Roman" w:hAnsi="Times New Roman"/>
                <w:szCs w:val="21"/>
              </w:rPr>
            </w:pPr>
          </w:p>
        </w:tc>
        <w:tc>
          <w:tcPr>
            <w:tcW w:w="2057" w:type="dxa"/>
            <w:vAlign w:val="center"/>
          </w:tcPr>
          <w:p>
            <w:pPr>
              <w:spacing w:line="300" w:lineRule="auto"/>
              <w:jc w:val="center"/>
              <w:rPr>
                <w:rFonts w:ascii="Times New Roman" w:hAnsi="Times New Roman"/>
                <w:szCs w:val="21"/>
              </w:rPr>
            </w:pPr>
            <w:r>
              <w:rPr>
                <w:rFonts w:ascii="Times New Roman" w:hAnsi="Times New Roman"/>
                <w:szCs w:val="21"/>
              </w:rPr>
              <w:t>270.0*</w:t>
            </w:r>
          </w:p>
        </w:tc>
        <w:tc>
          <w:tcPr>
            <w:tcW w:w="1418" w:type="dxa"/>
            <w:vAlign w:val="center"/>
          </w:tcPr>
          <w:p>
            <w:pPr>
              <w:spacing w:line="300" w:lineRule="auto"/>
              <w:jc w:val="center"/>
              <w:rPr>
                <w:rFonts w:ascii="Times New Roman" w:hAnsi="Times New Roman"/>
                <w:szCs w:val="21"/>
              </w:rPr>
            </w:pPr>
            <w:r>
              <w:rPr>
                <w:rFonts w:ascii="Times New Roman" w:hAnsi="Times New Roman"/>
                <w:szCs w:val="21"/>
              </w:rPr>
              <w:t>200</w:t>
            </w:r>
          </w:p>
        </w:tc>
        <w:tc>
          <w:tcPr>
            <w:tcW w:w="1212" w:type="dxa"/>
            <w:vAlign w:val="center"/>
          </w:tcPr>
          <w:p>
            <w:pPr>
              <w:spacing w:line="300" w:lineRule="auto"/>
              <w:jc w:val="center"/>
              <w:rPr>
                <w:rFonts w:ascii="Times New Roman" w:hAnsi="Times New Roman"/>
                <w:szCs w:val="21"/>
              </w:rPr>
            </w:pPr>
            <w:r>
              <w:rPr>
                <w:rFonts w:ascii="Times New Roman" w:hAnsi="Times New Roman"/>
                <w:szCs w:val="21"/>
              </w:rPr>
              <w:t>45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jc w:val="center"/>
        </w:trPr>
        <w:tc>
          <w:tcPr>
            <w:tcW w:w="709" w:type="dxa"/>
            <w:vMerge w:val="continue"/>
            <w:vAlign w:val="center"/>
          </w:tcPr>
          <w:p>
            <w:pPr>
              <w:spacing w:line="300" w:lineRule="auto"/>
              <w:jc w:val="center"/>
              <w:rPr>
                <w:rFonts w:ascii="Times New Roman" w:hAnsi="Times New Roman"/>
                <w:szCs w:val="21"/>
              </w:rPr>
            </w:pPr>
          </w:p>
        </w:tc>
        <w:tc>
          <w:tcPr>
            <w:tcW w:w="2410" w:type="dxa"/>
            <w:vMerge w:val="continue"/>
            <w:vAlign w:val="center"/>
          </w:tcPr>
          <w:p>
            <w:pPr>
              <w:spacing w:line="300" w:lineRule="auto"/>
              <w:jc w:val="center"/>
              <w:rPr>
                <w:rFonts w:ascii="Times New Roman" w:hAnsi="Times New Roman"/>
                <w:szCs w:val="21"/>
              </w:rPr>
            </w:pPr>
          </w:p>
        </w:tc>
        <w:tc>
          <w:tcPr>
            <w:tcW w:w="1511" w:type="dxa"/>
            <w:vMerge w:val="continue"/>
            <w:vAlign w:val="center"/>
          </w:tcPr>
          <w:p>
            <w:pPr>
              <w:spacing w:line="300" w:lineRule="auto"/>
              <w:jc w:val="center"/>
              <w:rPr>
                <w:rFonts w:ascii="Times New Roman" w:hAnsi="Times New Roman"/>
                <w:szCs w:val="21"/>
              </w:rPr>
            </w:pPr>
          </w:p>
        </w:tc>
        <w:tc>
          <w:tcPr>
            <w:tcW w:w="2057" w:type="dxa"/>
            <w:vAlign w:val="center"/>
          </w:tcPr>
          <w:p>
            <w:pPr>
              <w:spacing w:line="300" w:lineRule="auto"/>
              <w:jc w:val="center"/>
              <w:rPr>
                <w:rFonts w:ascii="Times New Roman" w:hAnsi="Times New Roman"/>
                <w:szCs w:val="21"/>
              </w:rPr>
            </w:pPr>
            <w:r>
              <w:rPr>
                <w:rFonts w:ascii="Times New Roman" w:hAnsi="Times New Roman"/>
                <w:szCs w:val="21"/>
              </w:rPr>
              <w:t>244.1</w:t>
            </w:r>
          </w:p>
        </w:tc>
        <w:tc>
          <w:tcPr>
            <w:tcW w:w="1418" w:type="dxa"/>
            <w:vAlign w:val="center"/>
          </w:tcPr>
          <w:p>
            <w:pPr>
              <w:spacing w:line="300" w:lineRule="auto"/>
              <w:jc w:val="center"/>
              <w:rPr>
                <w:rFonts w:ascii="Times New Roman" w:hAnsi="Times New Roman"/>
                <w:szCs w:val="21"/>
              </w:rPr>
            </w:pPr>
            <w:r>
              <w:rPr>
                <w:rFonts w:ascii="Times New Roman" w:hAnsi="Times New Roman"/>
                <w:szCs w:val="21"/>
              </w:rPr>
              <w:t>200</w:t>
            </w:r>
          </w:p>
        </w:tc>
        <w:tc>
          <w:tcPr>
            <w:tcW w:w="1212" w:type="dxa"/>
            <w:vAlign w:val="center"/>
          </w:tcPr>
          <w:p>
            <w:pPr>
              <w:spacing w:line="300" w:lineRule="auto"/>
              <w:jc w:val="center"/>
              <w:rPr>
                <w:rFonts w:ascii="Times New Roman" w:hAnsi="Times New Roman"/>
                <w:szCs w:val="21"/>
              </w:rPr>
            </w:pPr>
            <w:r>
              <w:rPr>
                <w:rFonts w:ascii="Times New Roman" w:hAnsi="Times New Roman"/>
                <w:szCs w:val="21"/>
              </w:rPr>
              <w:t>51</w:t>
            </w:r>
          </w:p>
        </w:tc>
      </w:tr>
    </w:tbl>
    <w:p>
      <w:pPr>
        <w:snapToGrid w:val="0"/>
        <w:spacing w:before="156" w:beforeLines="50" w:after="156" w:afterLines="50" w:line="300" w:lineRule="auto"/>
        <w:jc w:val="left"/>
        <w:rPr>
          <w:rFonts w:ascii="Times New Roman" w:hAnsi="Times New Roman"/>
          <w:szCs w:val="21"/>
        </w:rPr>
      </w:pPr>
      <w:r>
        <w:rPr>
          <w:rFonts w:ascii="Times New Roman" w:hAnsi="Times New Roman"/>
          <w:szCs w:val="21"/>
        </w:rPr>
        <w:t>*作为定量离子</w:t>
      </w:r>
    </w:p>
    <w:p>
      <w:pPr>
        <w:snapToGrid w:val="0"/>
        <w:spacing w:before="156" w:beforeLines="50" w:after="156" w:afterLines="50" w:line="300" w:lineRule="auto"/>
        <w:rPr>
          <w:rFonts w:ascii="Times New Roman" w:hAnsi="Times New Roman"/>
          <w:szCs w:val="21"/>
        </w:rPr>
      </w:pPr>
      <w:r>
        <w:rPr>
          <w:rFonts w:ascii="Times New Roman" w:hAnsi="Times New Roman"/>
          <w:szCs w:val="21"/>
        </w:rPr>
        <w:t>A.4 定性判定</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在相同的试验条件下，样品中应呈现定量离子对和定性离子对的色谱峰、被测原料的质量色谱峰保留时间与标准溶液中对应原料的质量色谱峰保留时间一致，样品色谱图中所选择的监测离子对的相对丰度比与相当浓度标准溶液的离子对的相对丰度相比的偏差不超过表A.</w:t>
      </w:r>
      <w:r>
        <w:rPr>
          <w:rFonts w:hint="eastAsia" w:ascii="Times New Roman" w:hAnsi="Times New Roman"/>
          <w:szCs w:val="21"/>
        </w:rPr>
        <w:t>3</w:t>
      </w:r>
      <w:r>
        <w:rPr>
          <w:rFonts w:ascii="Times New Roman" w:hAnsi="Times New Roman"/>
          <w:szCs w:val="21"/>
        </w:rPr>
        <w:t>规定范围，则可判断样品中存在对应的测定原料。</w:t>
      </w: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表A.3定性确证时相对离子丰度的最大允许偏差</w:t>
      </w:r>
    </w:p>
    <w:tbl>
      <w:tblPr>
        <w:tblStyle w:val="15"/>
        <w:tblW w:w="8259"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185"/>
        <w:gridCol w:w="1032"/>
        <w:gridCol w:w="2032"/>
        <w:gridCol w:w="1834"/>
        <w:gridCol w:w="117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35" w:hRule="atLeast"/>
          <w:jc w:val="center"/>
        </w:trPr>
        <w:tc>
          <w:tcPr>
            <w:tcW w:w="2185" w:type="dxa"/>
            <w:tcBorders>
              <w:top w:val="single" w:color="auto" w:sz="4" w:space="0"/>
              <w:left w:val="nil"/>
              <w:bottom w:val="single" w:color="auto" w:sz="4" w:space="0"/>
              <w:right w:val="nil"/>
            </w:tcBorders>
            <w:vAlign w:val="center"/>
          </w:tcPr>
          <w:p>
            <w:pPr>
              <w:spacing w:line="300" w:lineRule="auto"/>
              <w:jc w:val="center"/>
              <w:rPr>
                <w:rFonts w:ascii="Times New Roman" w:hAnsi="Times New Roman"/>
                <w:szCs w:val="21"/>
              </w:rPr>
            </w:pPr>
            <w:r>
              <w:rPr>
                <w:rFonts w:ascii="Times New Roman" w:hAnsi="Times New Roman"/>
                <w:szCs w:val="21"/>
              </w:rPr>
              <w:t>相对离子丰度（k）</w:t>
            </w:r>
          </w:p>
        </w:tc>
        <w:tc>
          <w:tcPr>
            <w:tcW w:w="1032" w:type="dxa"/>
            <w:tcBorders>
              <w:top w:val="single" w:color="auto" w:sz="4" w:space="0"/>
              <w:left w:val="nil"/>
              <w:bottom w:val="single" w:color="auto" w:sz="4" w:space="0"/>
              <w:right w:val="nil"/>
            </w:tcBorders>
            <w:vAlign w:val="center"/>
          </w:tcPr>
          <w:p>
            <w:pPr>
              <w:spacing w:line="300" w:lineRule="auto"/>
              <w:jc w:val="center"/>
              <w:rPr>
                <w:rFonts w:ascii="Times New Roman" w:hAnsi="Times New Roman"/>
                <w:szCs w:val="21"/>
              </w:rPr>
            </w:pPr>
            <w:r>
              <w:rPr>
                <w:rFonts w:ascii="Times New Roman" w:hAnsi="Times New Roman"/>
                <w:szCs w:val="21"/>
              </w:rPr>
              <w:t>k&gt;50%</w:t>
            </w:r>
          </w:p>
        </w:tc>
        <w:tc>
          <w:tcPr>
            <w:tcW w:w="2032" w:type="dxa"/>
            <w:tcBorders>
              <w:top w:val="single" w:color="auto" w:sz="4" w:space="0"/>
              <w:left w:val="nil"/>
              <w:bottom w:val="single" w:color="auto" w:sz="4" w:space="0"/>
              <w:right w:val="nil"/>
            </w:tcBorders>
            <w:vAlign w:val="center"/>
          </w:tcPr>
          <w:p>
            <w:pPr>
              <w:spacing w:line="300" w:lineRule="auto"/>
              <w:jc w:val="center"/>
              <w:rPr>
                <w:rFonts w:ascii="Times New Roman" w:hAnsi="Times New Roman"/>
                <w:szCs w:val="21"/>
              </w:rPr>
            </w:pPr>
            <w:r>
              <w:rPr>
                <w:rFonts w:ascii="Times New Roman" w:hAnsi="Times New Roman"/>
                <w:szCs w:val="21"/>
              </w:rPr>
              <w:t>50%≥k&gt;</w:t>
            </w:r>
            <w:r>
              <w:rPr>
                <w:rFonts w:hint="eastAsia" w:ascii="Times New Roman" w:hAnsi="Times New Roman"/>
                <w:szCs w:val="21"/>
              </w:rPr>
              <w:t>2</w:t>
            </w:r>
            <w:r>
              <w:rPr>
                <w:rFonts w:ascii="Times New Roman" w:hAnsi="Times New Roman"/>
                <w:szCs w:val="21"/>
              </w:rPr>
              <w:t>0%</w:t>
            </w:r>
          </w:p>
        </w:tc>
        <w:tc>
          <w:tcPr>
            <w:tcW w:w="1834" w:type="dxa"/>
            <w:tcBorders>
              <w:top w:val="single" w:color="auto" w:sz="4" w:space="0"/>
              <w:left w:val="nil"/>
              <w:bottom w:val="single" w:color="auto" w:sz="4" w:space="0"/>
              <w:right w:val="nil"/>
            </w:tcBorders>
            <w:vAlign w:val="center"/>
          </w:tcPr>
          <w:p>
            <w:pPr>
              <w:spacing w:line="300" w:lineRule="auto"/>
              <w:jc w:val="center"/>
              <w:rPr>
                <w:rFonts w:ascii="Times New Roman" w:hAnsi="Times New Roman"/>
                <w:szCs w:val="21"/>
              </w:rPr>
            </w:pPr>
            <w:r>
              <w:rPr>
                <w:rFonts w:ascii="Times New Roman" w:hAnsi="Times New Roman"/>
                <w:szCs w:val="21"/>
              </w:rPr>
              <w:t>20%≥k&gt;10 %</w:t>
            </w:r>
          </w:p>
        </w:tc>
        <w:tc>
          <w:tcPr>
            <w:tcW w:w="1176" w:type="dxa"/>
            <w:tcBorders>
              <w:top w:val="single" w:color="auto" w:sz="4" w:space="0"/>
              <w:left w:val="nil"/>
              <w:bottom w:val="single" w:color="auto" w:sz="4" w:space="0"/>
              <w:right w:val="nil"/>
            </w:tcBorders>
            <w:vAlign w:val="center"/>
          </w:tcPr>
          <w:p>
            <w:pPr>
              <w:spacing w:line="300" w:lineRule="auto"/>
              <w:jc w:val="center"/>
              <w:rPr>
                <w:rFonts w:ascii="Times New Roman" w:hAnsi="Times New Roman"/>
                <w:szCs w:val="21"/>
              </w:rPr>
            </w:pPr>
            <w:r>
              <w:rPr>
                <w:rFonts w:ascii="Times New Roman" w:hAnsi="Times New Roman"/>
                <w:szCs w:val="21"/>
              </w:rPr>
              <w:t>k≤10%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10" w:hRule="atLeast"/>
          <w:jc w:val="center"/>
        </w:trPr>
        <w:tc>
          <w:tcPr>
            <w:tcW w:w="2185" w:type="dxa"/>
            <w:tcBorders>
              <w:top w:val="single" w:color="auto" w:sz="4" w:space="0"/>
              <w:left w:val="nil"/>
              <w:bottom w:val="single" w:color="auto" w:sz="4" w:space="0"/>
              <w:right w:val="nil"/>
            </w:tcBorders>
            <w:vAlign w:val="center"/>
          </w:tcPr>
          <w:p>
            <w:pPr>
              <w:spacing w:line="300" w:lineRule="auto"/>
              <w:jc w:val="center"/>
              <w:rPr>
                <w:rFonts w:ascii="Times New Roman" w:hAnsi="Times New Roman"/>
                <w:szCs w:val="21"/>
              </w:rPr>
            </w:pPr>
            <w:r>
              <w:rPr>
                <w:rFonts w:ascii="Times New Roman" w:hAnsi="Times New Roman"/>
                <w:szCs w:val="21"/>
              </w:rPr>
              <w:t>允许的最大偏差</w:t>
            </w:r>
          </w:p>
        </w:tc>
        <w:tc>
          <w:tcPr>
            <w:tcW w:w="1032" w:type="dxa"/>
            <w:tcBorders>
              <w:top w:val="single" w:color="auto" w:sz="4" w:space="0"/>
              <w:left w:val="nil"/>
              <w:bottom w:val="single" w:color="auto" w:sz="4" w:space="0"/>
              <w:right w:val="nil"/>
            </w:tcBorders>
            <w:vAlign w:val="center"/>
          </w:tcPr>
          <w:p>
            <w:pPr>
              <w:spacing w:line="300" w:lineRule="auto"/>
              <w:jc w:val="center"/>
              <w:rPr>
                <w:rFonts w:ascii="Times New Roman" w:hAnsi="Times New Roman"/>
                <w:szCs w:val="21"/>
              </w:rPr>
            </w:pPr>
            <w:r>
              <w:rPr>
                <w:rFonts w:ascii="Times New Roman" w:hAnsi="Times New Roman"/>
                <w:szCs w:val="21"/>
              </w:rPr>
              <w:t>±20%</w:t>
            </w:r>
          </w:p>
        </w:tc>
        <w:tc>
          <w:tcPr>
            <w:tcW w:w="2032" w:type="dxa"/>
            <w:tcBorders>
              <w:top w:val="single" w:color="auto" w:sz="4" w:space="0"/>
              <w:left w:val="nil"/>
              <w:bottom w:val="single" w:color="auto" w:sz="4" w:space="0"/>
              <w:right w:val="nil"/>
            </w:tcBorders>
            <w:vAlign w:val="center"/>
          </w:tcPr>
          <w:p>
            <w:pPr>
              <w:spacing w:line="300" w:lineRule="auto"/>
              <w:jc w:val="center"/>
              <w:rPr>
                <w:rFonts w:ascii="Times New Roman" w:hAnsi="Times New Roman"/>
                <w:szCs w:val="21"/>
              </w:rPr>
            </w:pPr>
            <w:r>
              <w:rPr>
                <w:rFonts w:ascii="Times New Roman" w:hAnsi="Times New Roman"/>
                <w:szCs w:val="21"/>
              </w:rPr>
              <w:t>±25%</w:t>
            </w:r>
          </w:p>
        </w:tc>
        <w:tc>
          <w:tcPr>
            <w:tcW w:w="1834" w:type="dxa"/>
            <w:tcBorders>
              <w:top w:val="single" w:color="auto" w:sz="4" w:space="0"/>
              <w:left w:val="nil"/>
              <w:bottom w:val="single" w:color="auto" w:sz="4" w:space="0"/>
              <w:right w:val="nil"/>
            </w:tcBorders>
            <w:vAlign w:val="center"/>
          </w:tcPr>
          <w:p>
            <w:pPr>
              <w:spacing w:line="300" w:lineRule="auto"/>
              <w:jc w:val="center"/>
              <w:rPr>
                <w:rFonts w:ascii="Times New Roman" w:hAnsi="Times New Roman"/>
                <w:szCs w:val="21"/>
              </w:rPr>
            </w:pPr>
            <w:r>
              <w:rPr>
                <w:rFonts w:ascii="Times New Roman" w:hAnsi="Times New Roman"/>
                <w:szCs w:val="21"/>
              </w:rPr>
              <w:t>±30%</w:t>
            </w:r>
          </w:p>
        </w:tc>
        <w:tc>
          <w:tcPr>
            <w:tcW w:w="1176" w:type="dxa"/>
            <w:tcBorders>
              <w:top w:val="single" w:color="auto" w:sz="4" w:space="0"/>
              <w:left w:val="nil"/>
              <w:bottom w:val="single" w:color="auto" w:sz="4" w:space="0"/>
              <w:right w:val="nil"/>
            </w:tcBorders>
            <w:vAlign w:val="center"/>
          </w:tcPr>
          <w:p>
            <w:pPr>
              <w:spacing w:line="300" w:lineRule="auto"/>
              <w:jc w:val="center"/>
              <w:rPr>
                <w:rFonts w:ascii="Times New Roman" w:hAnsi="Times New Roman"/>
                <w:szCs w:val="21"/>
              </w:rPr>
            </w:pPr>
            <w:r>
              <w:rPr>
                <w:rFonts w:ascii="Times New Roman" w:hAnsi="Times New Roman"/>
                <w:szCs w:val="21"/>
              </w:rPr>
              <w:t>±50%</w:t>
            </w:r>
          </w:p>
        </w:tc>
      </w:tr>
    </w:tbl>
    <w:p>
      <w:pPr>
        <w:snapToGrid w:val="0"/>
        <w:spacing w:before="156" w:beforeLines="50" w:after="156" w:afterLines="50" w:line="300" w:lineRule="auto"/>
        <w:rPr>
          <w:rFonts w:ascii="Times New Roman" w:hAnsi="Times New Roman"/>
          <w:szCs w:val="21"/>
        </w:rPr>
      </w:pPr>
      <w:r>
        <w:rPr>
          <w:rFonts w:ascii="Times New Roman" w:hAnsi="Times New Roman"/>
          <w:szCs w:val="21"/>
        </w:rPr>
        <w:t>A.5 检出限</w:t>
      </w:r>
    </w:p>
    <w:p>
      <w:pPr>
        <w:snapToGrid w:val="0"/>
        <w:spacing w:before="50" w:after="50" w:line="300" w:lineRule="auto"/>
        <w:ind w:firstLine="420" w:firstLineChars="200"/>
        <w:rPr>
          <w:rFonts w:ascii="Times New Roman" w:hAnsi="Times New Roman"/>
          <w:szCs w:val="21"/>
        </w:rPr>
      </w:pPr>
      <w:r>
        <w:rPr>
          <w:rFonts w:ascii="Times New Roman" w:hAnsi="Times New Roman"/>
          <w:szCs w:val="21"/>
        </w:rPr>
        <w:t>本方法</w:t>
      </w:r>
      <w:r>
        <w:rPr>
          <w:rFonts w:ascii="Times New Roman" w:hAnsi="Times New Roman"/>
          <w:kern w:val="0"/>
          <w:szCs w:val="21"/>
        </w:rPr>
        <w:t>4,4'-双[(4-苯胺基-6-羟乙基氨基-1,3,5-三嗪-2-基)氨基]二苯乙烯-2,2'-二磺酸二钠盐</w:t>
      </w:r>
      <w:r>
        <w:rPr>
          <w:rFonts w:ascii="Times New Roman" w:hAnsi="Times New Roman"/>
          <w:szCs w:val="21"/>
        </w:rPr>
        <w:t>的检出浓度为11 μg/g，联苯乙烯二苯基二磺酸二钠的检出浓度为0.07 μg/g，二乙氨基甲基香豆素的检出浓度为0.02 μg/g，双（叔丁基苯并噁唑基）噻吩的检出浓度为0.2 μg/g，</w:t>
      </w:r>
      <w:r>
        <w:rPr>
          <w:rFonts w:ascii="Times New Roman" w:hAnsi="Times New Roman" w:eastAsiaTheme="minorEastAsia"/>
          <w:szCs w:val="21"/>
        </w:rPr>
        <w:t>二苯并噁唑基萘</w:t>
      </w:r>
      <w:r>
        <w:rPr>
          <w:rFonts w:ascii="Times New Roman" w:hAnsi="Times New Roman"/>
          <w:szCs w:val="21"/>
        </w:rPr>
        <w:t>的检出浓度为0.2 μg/g。</w:t>
      </w:r>
    </w:p>
    <w:p>
      <w:pPr>
        <w:snapToGrid w:val="0"/>
        <w:spacing w:before="156" w:beforeLines="50" w:after="156" w:afterLines="50" w:line="300" w:lineRule="auto"/>
        <w:rPr>
          <w:rFonts w:ascii="Times New Roman" w:hAnsi="Times New Roman"/>
          <w:szCs w:val="21"/>
        </w:rPr>
      </w:pPr>
      <w:r>
        <w:rPr>
          <w:rFonts w:ascii="Times New Roman" w:hAnsi="Times New Roman"/>
          <w:szCs w:val="21"/>
        </w:rPr>
        <w:t>A.6 图谱</w:t>
      </w:r>
    </w:p>
    <w:p>
      <w:pPr>
        <w:spacing w:line="300" w:lineRule="auto"/>
        <w:jc w:val="center"/>
        <w:rPr>
          <w:rFonts w:ascii="Times New Roman" w:hAnsi="Times New Roman"/>
          <w:szCs w:val="21"/>
        </w:rPr>
      </w:pPr>
      <w:r>
        <w:rPr>
          <w:rFonts w:ascii="Times New Roman" w:hAnsi="Times New Roman"/>
          <w:szCs w:val="21"/>
        </w:rPr>
        <mc:AlternateContent>
          <mc:Choice Requires="wps">
            <w:drawing>
              <wp:inline distT="0" distB="0" distL="0" distR="0">
                <wp:extent cx="3295650" cy="1366520"/>
                <wp:effectExtent l="0" t="0" r="19050" b="24130"/>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3295650" cy="1366520"/>
                        </a:xfrm>
                        <a:prstGeom prst="rect">
                          <a:avLst/>
                        </a:prstGeom>
                        <a:solidFill>
                          <a:srgbClr val="FFFFFF"/>
                        </a:solidFill>
                        <a:ln w="9525">
                          <a:solidFill>
                            <a:srgbClr val="000000"/>
                          </a:solidFill>
                          <a:miter lim="800000"/>
                        </a:ln>
                      </wps:spPr>
                      <wps:txbx>
                        <w:txbxContent>
                          <w:p>
                            <w:pPr>
                              <w:jc w:val="center"/>
                              <w:rPr>
                                <w:rFonts w:cs="Arial"/>
                                <w:bCs/>
                                <w:sz w:val="16"/>
                                <w:szCs w:val="16"/>
                              </w:rPr>
                            </w:pPr>
                            <w:r>
                              <w:t>85# 1</w:t>
                            </w:r>
                            <w:r>
                              <w:rPr>
                                <w:szCs w:val="20"/>
                              </w:rPr>
                              <w:t>(</w:t>
                            </w:r>
                            <w:r>
                              <w:t>413.2/310.8 Da</w:t>
                            </w:r>
                            <w:r>
                              <w:rPr>
                                <w:szCs w:val="20"/>
                              </w:rPr>
                              <w:t>)</w:t>
                            </w:r>
                          </w:p>
                          <w:p>
                            <w:pPr>
                              <w:rPr>
                                <w:bCs/>
                                <w:sz w:val="16"/>
                                <w:szCs w:val="16"/>
                              </w:rPr>
                            </w:pPr>
                          </w:p>
                          <w:p>
                            <w:r>
                              <w:rPr>
                                <w:sz w:val="16"/>
                                <w:szCs w:val="16"/>
                              </w:rPr>
                              <w:drawing>
                                <wp:inline distT="0" distB="0" distL="0" distR="0">
                                  <wp:extent cx="2400300" cy="885825"/>
                                  <wp:effectExtent l="19050" t="0" r="0" b="0"/>
                                  <wp:docPr id="22" name="图片 62"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2" descr="$[ANALYTE GRAPH]$"/>
                                          <pic:cNvPicPr>
                                            <a:picLocks noChangeAspect="1" noChangeArrowheads="1"/>
                                          </pic:cNvPicPr>
                                        </pic:nvPicPr>
                                        <pic:blipFill>
                                          <a:blip r:embed="rId7"/>
                                          <a:srcRect/>
                                          <a:stretch>
                                            <a:fillRect/>
                                          </a:stretch>
                                        </pic:blipFill>
                                        <pic:spPr>
                                          <a:xfrm>
                                            <a:off x="0" y="0"/>
                                            <a:ext cx="2400300" cy="8858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inline>
            </w:drawing>
          </mc:Choice>
          <mc:Fallback>
            <w:pict>
              <v:shape id="Text Box 6" o:spid="_x0000_s1026" o:spt="202" type="#_x0000_t202" style="height:107.6pt;width:259.5pt;" fillcolor="#FFFFFF" filled="t" stroked="t" coordsize="21600,21600" o:gfxdata="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VrsHM1AAA&#10;AAUBAAAPAAAAAAAAAAEAIAAAADgAAABkcnMvZG93bnJldi54bWxQSwECFAAUAAAACACHTuJAl0qO&#10;SwwCAAApBAAADgAAAAAAAAABACAAAAA5AQAAZHJzL2Uyb0RvYy54bWxQSwUGAAAAAAYABgBZAQAA&#10;twUAAAAA&#10;">
                <v:fill on="t" focussize="0,0"/>
                <v:stroke color="#000000" miterlimit="8" joinstyle="miter"/>
                <v:imagedata o:title=""/>
                <o:lock v:ext="edit" aspectratio="f"/>
                <v:textbox inset="0mm,0mm,0mm,0mm">
                  <w:txbxContent>
                    <w:p>
                      <w:pPr>
                        <w:jc w:val="center"/>
                        <w:rPr>
                          <w:rFonts w:cs="Arial"/>
                          <w:bCs/>
                          <w:sz w:val="16"/>
                          <w:szCs w:val="16"/>
                        </w:rPr>
                      </w:pPr>
                      <w:r>
                        <w:t>85# 1</w:t>
                      </w:r>
                      <w:r>
                        <w:rPr>
                          <w:szCs w:val="20"/>
                        </w:rPr>
                        <w:t>(</w:t>
                      </w:r>
                      <w:r>
                        <w:t>413.2/310.8 Da</w:t>
                      </w:r>
                      <w:r>
                        <w:rPr>
                          <w:szCs w:val="20"/>
                        </w:rPr>
                        <w:t>)</w:t>
                      </w:r>
                    </w:p>
                    <w:p>
                      <w:pPr>
                        <w:rPr>
                          <w:bCs/>
                          <w:sz w:val="16"/>
                          <w:szCs w:val="16"/>
                        </w:rPr>
                      </w:pPr>
                    </w:p>
                    <w:p>
                      <w:r>
                        <w:rPr>
                          <w:sz w:val="16"/>
                          <w:szCs w:val="16"/>
                        </w:rPr>
                        <w:drawing>
                          <wp:inline distT="0" distB="0" distL="0" distR="0">
                            <wp:extent cx="2400300" cy="885825"/>
                            <wp:effectExtent l="19050" t="0" r="0" b="0"/>
                            <wp:docPr id="22" name="图片 62"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2" descr="$[ANALYTE GRAPH]$"/>
                                    <pic:cNvPicPr>
                                      <a:picLocks noChangeAspect="1" noChangeArrowheads="1"/>
                                    </pic:cNvPicPr>
                                  </pic:nvPicPr>
                                  <pic:blipFill>
                                    <a:blip r:embed="rId7"/>
                                    <a:srcRect/>
                                    <a:stretch>
                                      <a:fillRect/>
                                    </a:stretch>
                                  </pic:blipFill>
                                  <pic:spPr>
                                    <a:xfrm>
                                      <a:off x="0" y="0"/>
                                      <a:ext cx="2400300" cy="885825"/>
                                    </a:xfrm>
                                    <a:prstGeom prst="rect">
                                      <a:avLst/>
                                    </a:prstGeom>
                                    <a:noFill/>
                                    <a:ln w="9525">
                                      <a:noFill/>
                                      <a:miter lim="800000"/>
                                      <a:headEnd/>
                                      <a:tailEnd/>
                                    </a:ln>
                                  </pic:spPr>
                                </pic:pic>
                              </a:graphicData>
                            </a:graphic>
                          </wp:inline>
                        </w:drawing>
                      </w:r>
                    </w:p>
                  </w:txbxContent>
                </v:textbox>
                <w10:wrap type="none"/>
                <w10:anchorlock/>
              </v:shape>
            </w:pict>
          </mc:Fallback>
        </mc:AlternateContent>
      </w: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图A.1  4,4'-双[(4-苯胺基-6-羟乙基氨基-1,3,5-三嗪-2-基)氨基]二苯乙烯-2,2'-二磺酸二钠盐图谱</w:t>
      </w:r>
      <w:r>
        <w:rPr>
          <w:rFonts w:ascii="Times New Roman" w:hAnsi="Times New Roman"/>
          <w:szCs w:val="21"/>
        </w:rPr>
        <w:t>（2</w:t>
      </w:r>
      <w:r>
        <w:rPr>
          <w:rFonts w:hint="eastAsia" w:ascii="Times New Roman" w:hAnsi="Times New Roman"/>
          <w:szCs w:val="21"/>
        </w:rPr>
        <w:t>.</w:t>
      </w:r>
      <w:r>
        <w:rPr>
          <w:rFonts w:ascii="Times New Roman" w:hAnsi="Times New Roman"/>
          <w:szCs w:val="21"/>
        </w:rPr>
        <w:t>158 ng/mL）</w:t>
      </w:r>
    </w:p>
    <w:p>
      <w:pPr>
        <w:spacing w:line="300" w:lineRule="auto"/>
        <w:jc w:val="center"/>
        <w:rPr>
          <w:rFonts w:ascii="Times New Roman" w:hAnsi="Times New Roman"/>
          <w:szCs w:val="21"/>
        </w:rPr>
      </w:pPr>
      <w:r>
        <w:rPr>
          <w:rFonts w:ascii="Times New Roman" w:hAnsi="Times New Roman"/>
          <w:szCs w:val="21"/>
        </w:rPr>
        <mc:AlternateContent>
          <mc:Choice Requires="wps">
            <w:drawing>
              <wp:inline distT="0" distB="0" distL="0" distR="0">
                <wp:extent cx="3295650" cy="1367790"/>
                <wp:effectExtent l="0" t="0" r="19050" b="22860"/>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3295650" cy="1367790"/>
                        </a:xfrm>
                        <a:prstGeom prst="rect">
                          <a:avLst/>
                        </a:prstGeom>
                        <a:solidFill>
                          <a:srgbClr val="FFFFFF"/>
                        </a:solidFill>
                        <a:ln w="9525">
                          <a:solidFill>
                            <a:srgbClr val="000000"/>
                          </a:solidFill>
                          <a:miter lim="800000"/>
                        </a:ln>
                      </wps:spPr>
                      <wps:txbx>
                        <w:txbxContent>
                          <w:p>
                            <w:pPr>
                              <w:jc w:val="center"/>
                              <w:rPr>
                                <w:rFonts w:cs="Arial"/>
                                <w:bCs/>
                                <w:sz w:val="16"/>
                                <w:szCs w:val="16"/>
                              </w:rPr>
                            </w:pPr>
                            <w:r>
                              <w:t>351# 1</w:t>
                            </w:r>
                            <w:r>
                              <w:rPr>
                                <w:szCs w:val="20"/>
                              </w:rPr>
                              <w:t>(</w:t>
                            </w:r>
                            <w:r>
                              <w:t>258.2/226.0 Da</w:t>
                            </w:r>
                            <w:r>
                              <w:rPr>
                                <w:szCs w:val="20"/>
                              </w:rPr>
                              <w:t>)</w:t>
                            </w:r>
                          </w:p>
                          <w:p>
                            <w:pPr>
                              <w:rPr>
                                <w:bCs/>
                                <w:sz w:val="16"/>
                                <w:szCs w:val="16"/>
                              </w:rPr>
                            </w:pPr>
                          </w:p>
                          <w:p>
                            <w:r>
                              <w:rPr>
                                <w:sz w:val="16"/>
                                <w:szCs w:val="16"/>
                              </w:rPr>
                              <w:drawing>
                                <wp:inline distT="0" distB="0" distL="0" distR="0">
                                  <wp:extent cx="2400300" cy="885825"/>
                                  <wp:effectExtent l="19050" t="0" r="0" b="0"/>
                                  <wp:docPr id="23" name="图片 63"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3" descr="$[ANALYTE GRAPH]$"/>
                                          <pic:cNvPicPr>
                                            <a:picLocks noChangeAspect="1" noChangeArrowheads="1"/>
                                          </pic:cNvPicPr>
                                        </pic:nvPicPr>
                                        <pic:blipFill>
                                          <a:blip r:embed="rId8"/>
                                          <a:srcRect/>
                                          <a:stretch>
                                            <a:fillRect/>
                                          </a:stretch>
                                        </pic:blipFill>
                                        <pic:spPr>
                                          <a:xfrm>
                                            <a:off x="0" y="0"/>
                                            <a:ext cx="2400300" cy="8858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inline>
            </w:drawing>
          </mc:Choice>
          <mc:Fallback>
            <w:pict>
              <v:shape id="Text Box 5" o:spid="_x0000_s1026" o:spt="202" type="#_x0000_t202" style="height:107.7pt;width:259.5pt;" fillcolor="#FFFFFF" filled="t" stroked="t" coordsize="21600,21600" o:gfxdata="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RqUdUdUA&#10;AAAFAQAADwAAAAAAAAABACAAAAA4AAAAZHJzL2Rvd25yZXYueG1sUEsBAhQAFAAAAAgAh07iQNul&#10;pwMMAgAAKQQAAA4AAAAAAAAAAQAgAAAAOgEAAGRycy9lMm9Eb2MueG1sUEsFBgAAAAAGAAYAWQEA&#10;ALgFAAAAAA==&#10;">
                <v:fill on="t" focussize="0,0"/>
                <v:stroke color="#000000" miterlimit="8" joinstyle="miter"/>
                <v:imagedata o:title=""/>
                <o:lock v:ext="edit" aspectratio="f"/>
                <v:textbox inset="0mm,0mm,0mm,0mm">
                  <w:txbxContent>
                    <w:p>
                      <w:pPr>
                        <w:jc w:val="center"/>
                        <w:rPr>
                          <w:rFonts w:cs="Arial"/>
                          <w:bCs/>
                          <w:sz w:val="16"/>
                          <w:szCs w:val="16"/>
                        </w:rPr>
                      </w:pPr>
                      <w:r>
                        <w:t>351# 1</w:t>
                      </w:r>
                      <w:r>
                        <w:rPr>
                          <w:szCs w:val="20"/>
                        </w:rPr>
                        <w:t>(</w:t>
                      </w:r>
                      <w:r>
                        <w:t>258.2/226.0 Da</w:t>
                      </w:r>
                      <w:r>
                        <w:rPr>
                          <w:szCs w:val="20"/>
                        </w:rPr>
                        <w:t>)</w:t>
                      </w:r>
                    </w:p>
                    <w:p>
                      <w:pPr>
                        <w:rPr>
                          <w:bCs/>
                          <w:sz w:val="16"/>
                          <w:szCs w:val="16"/>
                        </w:rPr>
                      </w:pPr>
                    </w:p>
                    <w:p>
                      <w:r>
                        <w:rPr>
                          <w:sz w:val="16"/>
                          <w:szCs w:val="16"/>
                        </w:rPr>
                        <w:drawing>
                          <wp:inline distT="0" distB="0" distL="0" distR="0">
                            <wp:extent cx="2400300" cy="885825"/>
                            <wp:effectExtent l="19050" t="0" r="0" b="0"/>
                            <wp:docPr id="23" name="图片 63"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3" descr="$[ANALYTE GRAPH]$"/>
                                    <pic:cNvPicPr>
                                      <a:picLocks noChangeAspect="1" noChangeArrowheads="1"/>
                                    </pic:cNvPicPr>
                                  </pic:nvPicPr>
                                  <pic:blipFill>
                                    <a:blip r:embed="rId8"/>
                                    <a:srcRect/>
                                    <a:stretch>
                                      <a:fillRect/>
                                    </a:stretch>
                                  </pic:blipFill>
                                  <pic:spPr>
                                    <a:xfrm>
                                      <a:off x="0" y="0"/>
                                      <a:ext cx="2400300" cy="885825"/>
                                    </a:xfrm>
                                    <a:prstGeom prst="rect">
                                      <a:avLst/>
                                    </a:prstGeom>
                                    <a:noFill/>
                                    <a:ln w="9525">
                                      <a:noFill/>
                                      <a:miter lim="800000"/>
                                      <a:headEnd/>
                                      <a:tailEnd/>
                                    </a:ln>
                                  </pic:spPr>
                                </pic:pic>
                              </a:graphicData>
                            </a:graphic>
                          </wp:inline>
                        </w:drawing>
                      </w:r>
                    </w:p>
                  </w:txbxContent>
                </v:textbox>
                <w10:wrap type="none"/>
                <w10:anchorlock/>
              </v:shape>
            </w:pict>
          </mc:Fallback>
        </mc:AlternateContent>
      </w: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图A.2 联苯乙烯二苯基二磺酸二钠图谱</w:t>
      </w:r>
      <w:r>
        <w:rPr>
          <w:rFonts w:ascii="Times New Roman" w:hAnsi="Times New Roman"/>
          <w:kern w:val="0"/>
          <w:szCs w:val="21"/>
        </w:rPr>
        <w:t>（5.578 ng/mL）</w:t>
      </w:r>
    </w:p>
    <w:p>
      <w:pPr>
        <w:spacing w:line="300" w:lineRule="auto"/>
        <w:jc w:val="center"/>
        <w:rPr>
          <w:rFonts w:ascii="Times New Roman" w:hAnsi="Times New Roman"/>
          <w:szCs w:val="21"/>
        </w:rPr>
      </w:pPr>
      <w:r>
        <w:rPr>
          <w:rFonts w:ascii="Times New Roman" w:hAnsi="Times New Roman"/>
          <w:szCs w:val="21"/>
        </w:rPr>
        <mc:AlternateContent>
          <mc:Choice Requires="wps">
            <w:drawing>
              <wp:inline distT="0" distB="0" distL="0" distR="0">
                <wp:extent cx="3295650" cy="1379855"/>
                <wp:effectExtent l="0" t="0" r="19050" b="10795"/>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3295650" cy="1379855"/>
                        </a:xfrm>
                        <a:prstGeom prst="rect">
                          <a:avLst/>
                        </a:prstGeom>
                        <a:solidFill>
                          <a:srgbClr val="FFFFFF"/>
                        </a:solidFill>
                        <a:ln w="9525">
                          <a:solidFill>
                            <a:srgbClr val="000000"/>
                          </a:solidFill>
                          <a:miter lim="800000"/>
                        </a:ln>
                      </wps:spPr>
                      <wps:txbx>
                        <w:txbxContent>
                          <w:p>
                            <w:pPr>
                              <w:jc w:val="center"/>
                              <w:rPr>
                                <w:rFonts w:cs="Arial"/>
                                <w:bCs/>
                                <w:sz w:val="16"/>
                                <w:szCs w:val="16"/>
                              </w:rPr>
                            </w:pPr>
                            <w:r>
                              <w:t>140# 1</w:t>
                            </w:r>
                            <w:r>
                              <w:rPr>
                                <w:szCs w:val="20"/>
                              </w:rPr>
                              <w:t>(</w:t>
                            </w:r>
                            <w:r>
                              <w:t>232.1/188.1 Da</w:t>
                            </w:r>
                            <w:r>
                              <w:rPr>
                                <w:szCs w:val="20"/>
                              </w:rPr>
                              <w:t>)</w:t>
                            </w:r>
                          </w:p>
                          <w:p>
                            <w:pPr>
                              <w:rPr>
                                <w:bCs/>
                                <w:sz w:val="16"/>
                                <w:szCs w:val="16"/>
                              </w:rPr>
                            </w:pPr>
                          </w:p>
                          <w:p>
                            <w:r>
                              <w:rPr>
                                <w:sz w:val="16"/>
                                <w:szCs w:val="16"/>
                              </w:rPr>
                              <w:drawing>
                                <wp:inline distT="0" distB="0" distL="0" distR="0">
                                  <wp:extent cx="2400300" cy="885825"/>
                                  <wp:effectExtent l="19050" t="0" r="0" b="0"/>
                                  <wp:docPr id="24" name="图片 64"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4" descr="$[ANALYTE GRAPH]$"/>
                                          <pic:cNvPicPr>
                                            <a:picLocks noChangeAspect="1" noChangeArrowheads="1"/>
                                          </pic:cNvPicPr>
                                        </pic:nvPicPr>
                                        <pic:blipFill>
                                          <a:blip r:embed="rId9"/>
                                          <a:srcRect/>
                                          <a:stretch>
                                            <a:fillRect/>
                                          </a:stretch>
                                        </pic:blipFill>
                                        <pic:spPr>
                                          <a:xfrm>
                                            <a:off x="0" y="0"/>
                                            <a:ext cx="2400300" cy="8858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inline>
            </w:drawing>
          </mc:Choice>
          <mc:Fallback>
            <w:pict>
              <v:shape id="Text Box 4" o:spid="_x0000_s1026" o:spt="202" type="#_x0000_t202" style="height:108.65pt;width:259.5pt;" fillcolor="#FFFFFF" filled="t" stroked="t" coordsize="21600,21600" o:gfxdata="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FY7dHW&#10;AAAABQEAAA8AAAAAAAAAAQAgAAAAOAAAAGRycy9kb3ducmV2LnhtbFBLAQIUABQAAAAIAIdO4kCa&#10;quqLDAIAACkEAAAOAAAAAAAAAAEAIAAAADsBAABkcnMvZTJvRG9jLnhtbFBLBQYAAAAABgAGAFkB&#10;AAC5BQAAAAA=&#10;">
                <v:fill on="t" focussize="0,0"/>
                <v:stroke color="#000000" miterlimit="8" joinstyle="miter"/>
                <v:imagedata o:title=""/>
                <o:lock v:ext="edit" aspectratio="f"/>
                <v:textbox inset="0mm,0mm,0mm,0mm">
                  <w:txbxContent>
                    <w:p>
                      <w:pPr>
                        <w:jc w:val="center"/>
                        <w:rPr>
                          <w:rFonts w:cs="Arial"/>
                          <w:bCs/>
                          <w:sz w:val="16"/>
                          <w:szCs w:val="16"/>
                        </w:rPr>
                      </w:pPr>
                      <w:r>
                        <w:t>140# 1</w:t>
                      </w:r>
                      <w:r>
                        <w:rPr>
                          <w:szCs w:val="20"/>
                        </w:rPr>
                        <w:t>(</w:t>
                      </w:r>
                      <w:r>
                        <w:t>232.1/188.1 Da</w:t>
                      </w:r>
                      <w:r>
                        <w:rPr>
                          <w:szCs w:val="20"/>
                        </w:rPr>
                        <w:t>)</w:t>
                      </w:r>
                    </w:p>
                    <w:p>
                      <w:pPr>
                        <w:rPr>
                          <w:bCs/>
                          <w:sz w:val="16"/>
                          <w:szCs w:val="16"/>
                        </w:rPr>
                      </w:pPr>
                    </w:p>
                    <w:p>
                      <w:r>
                        <w:rPr>
                          <w:sz w:val="16"/>
                          <w:szCs w:val="16"/>
                        </w:rPr>
                        <w:drawing>
                          <wp:inline distT="0" distB="0" distL="0" distR="0">
                            <wp:extent cx="2400300" cy="885825"/>
                            <wp:effectExtent l="19050" t="0" r="0" b="0"/>
                            <wp:docPr id="24" name="图片 64"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4" descr="$[ANALYTE GRAPH]$"/>
                                    <pic:cNvPicPr>
                                      <a:picLocks noChangeAspect="1" noChangeArrowheads="1"/>
                                    </pic:cNvPicPr>
                                  </pic:nvPicPr>
                                  <pic:blipFill>
                                    <a:blip r:embed="rId9"/>
                                    <a:srcRect/>
                                    <a:stretch>
                                      <a:fillRect/>
                                    </a:stretch>
                                  </pic:blipFill>
                                  <pic:spPr>
                                    <a:xfrm>
                                      <a:off x="0" y="0"/>
                                      <a:ext cx="2400300" cy="885825"/>
                                    </a:xfrm>
                                    <a:prstGeom prst="rect">
                                      <a:avLst/>
                                    </a:prstGeom>
                                    <a:noFill/>
                                    <a:ln w="9525">
                                      <a:noFill/>
                                      <a:miter lim="800000"/>
                                      <a:headEnd/>
                                      <a:tailEnd/>
                                    </a:ln>
                                  </pic:spPr>
                                </pic:pic>
                              </a:graphicData>
                            </a:graphic>
                          </wp:inline>
                        </w:drawing>
                      </w:r>
                    </w:p>
                  </w:txbxContent>
                </v:textbox>
                <w10:wrap type="none"/>
                <w10:anchorlock/>
              </v:shape>
            </w:pict>
          </mc:Fallback>
        </mc:AlternateContent>
      </w: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图A.3 二乙氨基甲基香豆素图谱</w:t>
      </w:r>
      <w:r>
        <w:rPr>
          <w:rFonts w:ascii="Times New Roman" w:hAnsi="Times New Roman"/>
          <w:kern w:val="0"/>
          <w:szCs w:val="21"/>
        </w:rPr>
        <w:t>（3.440 ng/mL）</w:t>
      </w:r>
    </w:p>
    <w:p>
      <w:pPr>
        <w:spacing w:line="300" w:lineRule="auto"/>
        <w:jc w:val="center"/>
        <w:rPr>
          <w:rFonts w:ascii="Times New Roman" w:hAnsi="Times New Roman"/>
          <w:szCs w:val="21"/>
        </w:rPr>
      </w:pPr>
      <w:r>
        <w:rPr>
          <w:rFonts w:ascii="Times New Roman" w:hAnsi="Times New Roman"/>
          <w:strike/>
          <w:szCs w:val="21"/>
        </w:rPr>
        <mc:AlternateContent>
          <mc:Choice Requires="wps">
            <w:drawing>
              <wp:inline distT="0" distB="0" distL="0" distR="0">
                <wp:extent cx="3295650" cy="1355090"/>
                <wp:effectExtent l="0" t="0" r="19050" b="16510"/>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3295650" cy="1355090"/>
                        </a:xfrm>
                        <a:prstGeom prst="rect">
                          <a:avLst/>
                        </a:prstGeom>
                        <a:solidFill>
                          <a:srgbClr val="FFFFFF"/>
                        </a:solidFill>
                        <a:ln w="9525">
                          <a:solidFill>
                            <a:srgbClr val="000000"/>
                          </a:solidFill>
                          <a:miter lim="800000"/>
                        </a:ln>
                      </wps:spPr>
                      <wps:txbx>
                        <w:txbxContent>
                          <w:p>
                            <w:pPr>
                              <w:jc w:val="center"/>
                              <w:rPr>
                                <w:rFonts w:cs="Arial"/>
                                <w:bCs/>
                                <w:sz w:val="16"/>
                                <w:szCs w:val="16"/>
                              </w:rPr>
                            </w:pPr>
                            <w:r>
                              <w:t>367# 1</w:t>
                            </w:r>
                            <w:r>
                              <w:rPr>
                                <w:szCs w:val="20"/>
                              </w:rPr>
                              <w:t>(</w:t>
                            </w:r>
                            <w:r>
                              <w:t>363.1/270.0 Da</w:t>
                            </w:r>
                            <w:r>
                              <w:rPr>
                                <w:szCs w:val="20"/>
                              </w:rPr>
                              <w:t>)</w:t>
                            </w:r>
                          </w:p>
                          <w:p>
                            <w:pPr>
                              <w:rPr>
                                <w:bCs/>
                                <w:sz w:val="16"/>
                                <w:szCs w:val="16"/>
                              </w:rPr>
                            </w:pPr>
                          </w:p>
                          <w:p>
                            <w:r>
                              <w:rPr>
                                <w:sz w:val="16"/>
                                <w:szCs w:val="16"/>
                              </w:rPr>
                              <w:drawing>
                                <wp:inline distT="0" distB="0" distL="0" distR="0">
                                  <wp:extent cx="2400300" cy="885825"/>
                                  <wp:effectExtent l="19050" t="0" r="0" b="0"/>
                                  <wp:docPr id="25" name="图片 182"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2" descr="$[ANALYTE GRAPH]$"/>
                                          <pic:cNvPicPr>
                                            <a:picLocks noChangeAspect="1" noChangeArrowheads="1"/>
                                          </pic:cNvPicPr>
                                        </pic:nvPicPr>
                                        <pic:blipFill>
                                          <a:blip r:embed="rId10"/>
                                          <a:srcRect/>
                                          <a:stretch>
                                            <a:fillRect/>
                                          </a:stretch>
                                        </pic:blipFill>
                                        <pic:spPr>
                                          <a:xfrm>
                                            <a:off x="0" y="0"/>
                                            <a:ext cx="2400300" cy="8858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inline>
            </w:drawing>
          </mc:Choice>
          <mc:Fallback>
            <w:pict>
              <v:shape id="Text Box 3" o:spid="_x0000_s1026" o:spt="202" type="#_x0000_t202" style="height:106.7pt;width:259.5pt;" fillcolor="#FFFFFF" filled="t" stroked="t" coordsize="21600,21600" o:gfxdata="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JM4PtXW&#10;AAAABQEAAA8AAAAAAAAAAQAgAAAAOAAAAGRycy9kb3ducmV2LnhtbFBLAQIUABQAAAAIAIdO4kBp&#10;ytA5DAIAACkEAAAOAAAAAAAAAAEAIAAAADsBAABkcnMvZTJvRG9jLnhtbFBLBQYAAAAABgAGAFkB&#10;AAC5BQAAAAA=&#10;">
                <v:fill on="t" focussize="0,0"/>
                <v:stroke color="#000000" miterlimit="8" joinstyle="miter"/>
                <v:imagedata o:title=""/>
                <o:lock v:ext="edit" aspectratio="f"/>
                <v:textbox inset="0mm,0mm,0mm,0mm">
                  <w:txbxContent>
                    <w:p>
                      <w:pPr>
                        <w:jc w:val="center"/>
                        <w:rPr>
                          <w:rFonts w:cs="Arial"/>
                          <w:bCs/>
                          <w:sz w:val="16"/>
                          <w:szCs w:val="16"/>
                        </w:rPr>
                      </w:pPr>
                      <w:r>
                        <w:t>367# 1</w:t>
                      </w:r>
                      <w:r>
                        <w:rPr>
                          <w:szCs w:val="20"/>
                        </w:rPr>
                        <w:t>(</w:t>
                      </w:r>
                      <w:r>
                        <w:t>363.1/270.0 Da</w:t>
                      </w:r>
                      <w:r>
                        <w:rPr>
                          <w:szCs w:val="20"/>
                        </w:rPr>
                        <w:t>)</w:t>
                      </w:r>
                    </w:p>
                    <w:p>
                      <w:pPr>
                        <w:rPr>
                          <w:bCs/>
                          <w:sz w:val="16"/>
                          <w:szCs w:val="16"/>
                        </w:rPr>
                      </w:pPr>
                    </w:p>
                    <w:p>
                      <w:r>
                        <w:rPr>
                          <w:sz w:val="16"/>
                          <w:szCs w:val="16"/>
                        </w:rPr>
                        <w:drawing>
                          <wp:inline distT="0" distB="0" distL="0" distR="0">
                            <wp:extent cx="2400300" cy="885825"/>
                            <wp:effectExtent l="19050" t="0" r="0" b="0"/>
                            <wp:docPr id="25" name="图片 182"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2" descr="$[ANALYTE GRAPH]$"/>
                                    <pic:cNvPicPr>
                                      <a:picLocks noChangeAspect="1" noChangeArrowheads="1"/>
                                    </pic:cNvPicPr>
                                  </pic:nvPicPr>
                                  <pic:blipFill>
                                    <a:blip r:embed="rId10"/>
                                    <a:srcRect/>
                                    <a:stretch>
                                      <a:fillRect/>
                                    </a:stretch>
                                  </pic:blipFill>
                                  <pic:spPr>
                                    <a:xfrm>
                                      <a:off x="0" y="0"/>
                                      <a:ext cx="2400300" cy="885825"/>
                                    </a:xfrm>
                                    <a:prstGeom prst="rect">
                                      <a:avLst/>
                                    </a:prstGeom>
                                    <a:noFill/>
                                    <a:ln w="9525">
                                      <a:noFill/>
                                      <a:miter lim="800000"/>
                                      <a:headEnd/>
                                      <a:tailEnd/>
                                    </a:ln>
                                  </pic:spPr>
                                </pic:pic>
                              </a:graphicData>
                            </a:graphic>
                          </wp:inline>
                        </w:drawing>
                      </w:r>
                    </w:p>
                  </w:txbxContent>
                </v:textbox>
                <w10:wrap type="none"/>
                <w10:anchorlock/>
              </v:shape>
            </w:pict>
          </mc:Fallback>
        </mc:AlternateContent>
      </w: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图A.4 二苯并噁唑基萘图谱</w:t>
      </w:r>
      <w:r>
        <w:rPr>
          <w:rFonts w:ascii="Times New Roman" w:hAnsi="Times New Roman"/>
          <w:kern w:val="0"/>
          <w:szCs w:val="21"/>
        </w:rPr>
        <w:t>（41.71 ng/mL）</w:t>
      </w:r>
    </w:p>
    <w:p>
      <w:pPr>
        <w:spacing w:line="300" w:lineRule="auto"/>
        <w:jc w:val="center"/>
        <w:rPr>
          <w:rFonts w:ascii="Times New Roman" w:hAnsi="Times New Roman"/>
          <w:szCs w:val="21"/>
        </w:rPr>
      </w:pPr>
      <w:r>
        <w:rPr>
          <w:rFonts w:ascii="Times New Roman" w:hAnsi="Times New Roman"/>
          <w:strike/>
          <w:szCs w:val="21"/>
        </w:rPr>
        <mc:AlternateContent>
          <mc:Choice Requires="wps">
            <w:drawing>
              <wp:inline distT="0" distB="0" distL="0" distR="0">
                <wp:extent cx="3295650" cy="1353820"/>
                <wp:effectExtent l="0" t="0" r="19050" b="17780"/>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295650" cy="1353820"/>
                        </a:xfrm>
                        <a:prstGeom prst="rect">
                          <a:avLst/>
                        </a:prstGeom>
                        <a:solidFill>
                          <a:srgbClr val="FFFFFF"/>
                        </a:solidFill>
                        <a:ln w="9525">
                          <a:solidFill>
                            <a:srgbClr val="000000"/>
                          </a:solidFill>
                          <a:miter lim="800000"/>
                        </a:ln>
                      </wps:spPr>
                      <wps:txbx>
                        <w:txbxContent>
                          <w:p>
                            <w:pPr>
                              <w:jc w:val="center"/>
                              <w:rPr>
                                <w:rFonts w:cs="Arial"/>
                                <w:bCs/>
                                <w:sz w:val="16"/>
                                <w:szCs w:val="16"/>
                              </w:rPr>
                            </w:pPr>
                            <w:r>
                              <w:t>184# 1</w:t>
                            </w:r>
                            <w:r>
                              <w:rPr>
                                <w:szCs w:val="20"/>
                              </w:rPr>
                              <w:t>(</w:t>
                            </w:r>
                            <w:r>
                              <w:t>431.3/415.2 Da</w:t>
                            </w:r>
                            <w:r>
                              <w:rPr>
                                <w:szCs w:val="20"/>
                              </w:rPr>
                              <w:t>)</w:t>
                            </w:r>
                          </w:p>
                          <w:p>
                            <w:pPr>
                              <w:rPr>
                                <w:bCs/>
                                <w:sz w:val="16"/>
                                <w:szCs w:val="16"/>
                              </w:rPr>
                            </w:pPr>
                          </w:p>
                          <w:p>
                            <w:r>
                              <w:rPr>
                                <w:sz w:val="16"/>
                                <w:szCs w:val="16"/>
                              </w:rPr>
                              <w:drawing>
                                <wp:inline distT="0" distB="0" distL="0" distR="0">
                                  <wp:extent cx="2400300" cy="885825"/>
                                  <wp:effectExtent l="19050" t="0" r="0" b="0"/>
                                  <wp:docPr id="26" name="图片 200"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0" descr="$[ANALYTE GRAPH]$"/>
                                          <pic:cNvPicPr>
                                            <a:picLocks noChangeAspect="1" noChangeArrowheads="1"/>
                                          </pic:cNvPicPr>
                                        </pic:nvPicPr>
                                        <pic:blipFill>
                                          <a:blip r:embed="rId11"/>
                                          <a:srcRect/>
                                          <a:stretch>
                                            <a:fillRect/>
                                          </a:stretch>
                                        </pic:blipFill>
                                        <pic:spPr>
                                          <a:xfrm>
                                            <a:off x="0" y="0"/>
                                            <a:ext cx="2400300" cy="8858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inline>
            </w:drawing>
          </mc:Choice>
          <mc:Fallback>
            <w:pict>
              <v:shape id="Text Box 2" o:spid="_x0000_s1026" o:spt="202" type="#_x0000_t202" style="height:106.6pt;width:259.5pt;" fillcolor="#FFFFFF" filled="t" stroked="t" coordsize="21600,21600" o:gfxdata="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Az4kjV&#10;AAAABQEAAA8AAAAAAAAAAQAgAAAAOAAAAGRycy9kb3ducmV2LnhtbFBLAQIUABQAAAAIAIdO4kCC&#10;a1/ODQIAACkEAAAOAAAAAAAAAAEAIAAAADoBAABkcnMvZTJvRG9jLnhtbFBLBQYAAAAABgAGAFkB&#10;AAC5BQAAAAA=&#10;">
                <v:fill on="t" focussize="0,0"/>
                <v:stroke color="#000000" miterlimit="8" joinstyle="miter"/>
                <v:imagedata o:title=""/>
                <o:lock v:ext="edit" aspectratio="f"/>
                <v:textbox inset="0mm,0mm,0mm,0mm">
                  <w:txbxContent>
                    <w:p>
                      <w:pPr>
                        <w:jc w:val="center"/>
                        <w:rPr>
                          <w:rFonts w:cs="Arial"/>
                          <w:bCs/>
                          <w:sz w:val="16"/>
                          <w:szCs w:val="16"/>
                        </w:rPr>
                      </w:pPr>
                      <w:r>
                        <w:t>184# 1</w:t>
                      </w:r>
                      <w:r>
                        <w:rPr>
                          <w:szCs w:val="20"/>
                        </w:rPr>
                        <w:t>(</w:t>
                      </w:r>
                      <w:r>
                        <w:t>431.3/415.2 Da</w:t>
                      </w:r>
                      <w:r>
                        <w:rPr>
                          <w:szCs w:val="20"/>
                        </w:rPr>
                        <w:t>)</w:t>
                      </w:r>
                    </w:p>
                    <w:p>
                      <w:pPr>
                        <w:rPr>
                          <w:bCs/>
                          <w:sz w:val="16"/>
                          <w:szCs w:val="16"/>
                        </w:rPr>
                      </w:pPr>
                    </w:p>
                    <w:p>
                      <w:r>
                        <w:rPr>
                          <w:sz w:val="16"/>
                          <w:szCs w:val="16"/>
                        </w:rPr>
                        <w:drawing>
                          <wp:inline distT="0" distB="0" distL="0" distR="0">
                            <wp:extent cx="2400300" cy="885825"/>
                            <wp:effectExtent l="19050" t="0" r="0" b="0"/>
                            <wp:docPr id="26" name="图片 200" descr="$[ANALYT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0" descr="$[ANALYTE GRAPH]$"/>
                                    <pic:cNvPicPr>
                                      <a:picLocks noChangeAspect="1" noChangeArrowheads="1"/>
                                    </pic:cNvPicPr>
                                  </pic:nvPicPr>
                                  <pic:blipFill>
                                    <a:blip r:embed="rId11"/>
                                    <a:srcRect/>
                                    <a:stretch>
                                      <a:fillRect/>
                                    </a:stretch>
                                  </pic:blipFill>
                                  <pic:spPr>
                                    <a:xfrm>
                                      <a:off x="0" y="0"/>
                                      <a:ext cx="2400300" cy="885825"/>
                                    </a:xfrm>
                                    <a:prstGeom prst="rect">
                                      <a:avLst/>
                                    </a:prstGeom>
                                    <a:noFill/>
                                    <a:ln w="9525">
                                      <a:noFill/>
                                      <a:miter lim="800000"/>
                                      <a:headEnd/>
                                      <a:tailEnd/>
                                    </a:ln>
                                  </pic:spPr>
                                </pic:pic>
                              </a:graphicData>
                            </a:graphic>
                          </wp:inline>
                        </w:drawing>
                      </w:r>
                    </w:p>
                  </w:txbxContent>
                </v:textbox>
                <w10:wrap type="none"/>
                <w10:anchorlock/>
              </v:shape>
            </w:pict>
          </mc:Fallback>
        </mc:AlternateContent>
      </w:r>
    </w:p>
    <w:p>
      <w:pPr>
        <w:snapToGrid w:val="0"/>
        <w:spacing w:before="156" w:beforeLines="50" w:after="156" w:afterLines="50" w:line="300" w:lineRule="auto"/>
        <w:jc w:val="center"/>
        <w:rPr>
          <w:rFonts w:ascii="Times New Roman" w:hAnsi="Times New Roman" w:eastAsia="黑体"/>
          <w:szCs w:val="21"/>
        </w:rPr>
      </w:pPr>
      <w:r>
        <w:rPr>
          <w:rFonts w:ascii="Times New Roman" w:hAnsi="Times New Roman" w:eastAsia="黑体"/>
          <w:szCs w:val="21"/>
        </w:rPr>
        <w:t>图A.5 双（叔丁基苯并噁唑基）噻吩图谱</w:t>
      </w:r>
      <w:r>
        <w:rPr>
          <w:rFonts w:ascii="Times New Roman" w:hAnsi="Times New Roman"/>
          <w:kern w:val="0"/>
          <w:szCs w:val="21"/>
        </w:rPr>
        <w:t>（48.61 ng/mL）</w:t>
      </w:r>
    </w:p>
    <w:p>
      <w:pPr>
        <w:widowControl/>
        <w:spacing w:line="300" w:lineRule="auto"/>
        <w:jc w:val="left"/>
        <w:rPr>
          <w:rFonts w:ascii="Times New Roman" w:hAnsi="Times New Roman"/>
          <w:szCs w:val="21"/>
        </w:rPr>
      </w:pPr>
    </w:p>
    <w:sectPr>
      <w:footerReference r:id="rId4" w:type="first"/>
      <w:headerReference r:id="rId3" w:type="default"/>
      <w:pgSz w:w="11906" w:h="16838"/>
      <w:pgMar w:top="1440" w:right="1800" w:bottom="1440" w:left="1800" w:header="283"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Caladea"/>
    <w:panose1 w:val="02040503050406030204"/>
    <w:charset w:val="00"/>
    <w:family w:val="roman"/>
    <w:pitch w:val="default"/>
    <w:sig w:usb0="00000000" w:usb1="00000000" w:usb2="0000000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黑体">
    <w:panose1 w:val="02010609060101010101"/>
    <w:charset w:val="86"/>
    <w:family w:val="modern"/>
    <w:pitch w:val="default"/>
    <w:sig w:usb0="800002BF" w:usb1="38CF7CFA" w:usb2="00000016" w:usb3="00000000" w:csb0="00040001" w:csb1="00000000"/>
  </w:font>
  <w:font w:name="Symbol">
    <w:altName w:val="MT Extra"/>
    <w:panose1 w:val="05050102010706020507"/>
    <w:charset w:val="02"/>
    <w:family w:val="roman"/>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Caladea">
    <w:panose1 w:val="02040503050406030204"/>
    <w:charset w:val="00"/>
    <w:family w:val="auto"/>
    <w:pitch w:val="default"/>
    <w:sig w:usb0="00000007" w:usb1="00000000"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1F0B17"/>
    <w:rsid w:val="00000095"/>
    <w:rsid w:val="0000112A"/>
    <w:rsid w:val="00002745"/>
    <w:rsid w:val="00002B97"/>
    <w:rsid w:val="00006DFE"/>
    <w:rsid w:val="000078F5"/>
    <w:rsid w:val="00010EF8"/>
    <w:rsid w:val="00015DD0"/>
    <w:rsid w:val="00017D17"/>
    <w:rsid w:val="000215EE"/>
    <w:rsid w:val="00022446"/>
    <w:rsid w:val="000225D7"/>
    <w:rsid w:val="00022660"/>
    <w:rsid w:val="00024A68"/>
    <w:rsid w:val="00027B2D"/>
    <w:rsid w:val="00027BA7"/>
    <w:rsid w:val="00031869"/>
    <w:rsid w:val="00031BD9"/>
    <w:rsid w:val="000355EE"/>
    <w:rsid w:val="00035828"/>
    <w:rsid w:val="00042416"/>
    <w:rsid w:val="00046D97"/>
    <w:rsid w:val="00054B72"/>
    <w:rsid w:val="0005532D"/>
    <w:rsid w:val="00060853"/>
    <w:rsid w:val="0006314B"/>
    <w:rsid w:val="000631AF"/>
    <w:rsid w:val="00063C59"/>
    <w:rsid w:val="00064999"/>
    <w:rsid w:val="00065CD9"/>
    <w:rsid w:val="0006674E"/>
    <w:rsid w:val="00071ADD"/>
    <w:rsid w:val="00073B6C"/>
    <w:rsid w:val="000762E2"/>
    <w:rsid w:val="00077C2A"/>
    <w:rsid w:val="00080DB9"/>
    <w:rsid w:val="00080FC4"/>
    <w:rsid w:val="00082D0F"/>
    <w:rsid w:val="00090314"/>
    <w:rsid w:val="00097611"/>
    <w:rsid w:val="0009777D"/>
    <w:rsid w:val="000A0F43"/>
    <w:rsid w:val="000A12D8"/>
    <w:rsid w:val="000A22DC"/>
    <w:rsid w:val="000A2C50"/>
    <w:rsid w:val="000A323A"/>
    <w:rsid w:val="000A37BA"/>
    <w:rsid w:val="000A4F5F"/>
    <w:rsid w:val="000A7839"/>
    <w:rsid w:val="000A7997"/>
    <w:rsid w:val="000B1D31"/>
    <w:rsid w:val="000B55C6"/>
    <w:rsid w:val="000B67B5"/>
    <w:rsid w:val="000B6A91"/>
    <w:rsid w:val="000C0136"/>
    <w:rsid w:val="000C1C70"/>
    <w:rsid w:val="000C5A37"/>
    <w:rsid w:val="000C69C1"/>
    <w:rsid w:val="000E33D9"/>
    <w:rsid w:val="000E3480"/>
    <w:rsid w:val="000E4368"/>
    <w:rsid w:val="000E70A0"/>
    <w:rsid w:val="000E7119"/>
    <w:rsid w:val="000F1BDC"/>
    <w:rsid w:val="000F43F1"/>
    <w:rsid w:val="000F6CFE"/>
    <w:rsid w:val="000F737D"/>
    <w:rsid w:val="001005AA"/>
    <w:rsid w:val="00100B6A"/>
    <w:rsid w:val="0010332A"/>
    <w:rsid w:val="00104A8C"/>
    <w:rsid w:val="00104F60"/>
    <w:rsid w:val="00105479"/>
    <w:rsid w:val="00115C62"/>
    <w:rsid w:val="00120A9B"/>
    <w:rsid w:val="001215C9"/>
    <w:rsid w:val="00121C35"/>
    <w:rsid w:val="00121D44"/>
    <w:rsid w:val="001233F2"/>
    <w:rsid w:val="00124D32"/>
    <w:rsid w:val="001256A6"/>
    <w:rsid w:val="0013043D"/>
    <w:rsid w:val="001304FE"/>
    <w:rsid w:val="00131BA2"/>
    <w:rsid w:val="00133F38"/>
    <w:rsid w:val="00134420"/>
    <w:rsid w:val="0013474C"/>
    <w:rsid w:val="001363D8"/>
    <w:rsid w:val="0013686E"/>
    <w:rsid w:val="00136F27"/>
    <w:rsid w:val="0013758E"/>
    <w:rsid w:val="00137BCB"/>
    <w:rsid w:val="00140805"/>
    <w:rsid w:val="00143C67"/>
    <w:rsid w:val="001443BF"/>
    <w:rsid w:val="00145632"/>
    <w:rsid w:val="00145FB7"/>
    <w:rsid w:val="00146A1F"/>
    <w:rsid w:val="0015023C"/>
    <w:rsid w:val="0015054B"/>
    <w:rsid w:val="00150CB2"/>
    <w:rsid w:val="0015151A"/>
    <w:rsid w:val="00151B74"/>
    <w:rsid w:val="00152B4D"/>
    <w:rsid w:val="00153E42"/>
    <w:rsid w:val="00154783"/>
    <w:rsid w:val="00156624"/>
    <w:rsid w:val="0015788B"/>
    <w:rsid w:val="0016223B"/>
    <w:rsid w:val="00164095"/>
    <w:rsid w:val="00165AA9"/>
    <w:rsid w:val="00166AC0"/>
    <w:rsid w:val="001676FB"/>
    <w:rsid w:val="0016777A"/>
    <w:rsid w:val="00173668"/>
    <w:rsid w:val="00173841"/>
    <w:rsid w:val="00173A18"/>
    <w:rsid w:val="001758FE"/>
    <w:rsid w:val="00177ADB"/>
    <w:rsid w:val="00177F3A"/>
    <w:rsid w:val="0018063C"/>
    <w:rsid w:val="00182618"/>
    <w:rsid w:val="0018275A"/>
    <w:rsid w:val="00186379"/>
    <w:rsid w:val="00187054"/>
    <w:rsid w:val="00187AE6"/>
    <w:rsid w:val="001902D9"/>
    <w:rsid w:val="00190E33"/>
    <w:rsid w:val="00190FF3"/>
    <w:rsid w:val="00193601"/>
    <w:rsid w:val="0019616A"/>
    <w:rsid w:val="001967B5"/>
    <w:rsid w:val="001A0785"/>
    <w:rsid w:val="001A194A"/>
    <w:rsid w:val="001A3DC7"/>
    <w:rsid w:val="001A457F"/>
    <w:rsid w:val="001A4DEC"/>
    <w:rsid w:val="001A500A"/>
    <w:rsid w:val="001B15F3"/>
    <w:rsid w:val="001B180A"/>
    <w:rsid w:val="001B1B65"/>
    <w:rsid w:val="001B26D2"/>
    <w:rsid w:val="001B2EF5"/>
    <w:rsid w:val="001B5696"/>
    <w:rsid w:val="001B5B4B"/>
    <w:rsid w:val="001B72A1"/>
    <w:rsid w:val="001B7634"/>
    <w:rsid w:val="001C072D"/>
    <w:rsid w:val="001C23A5"/>
    <w:rsid w:val="001C2E52"/>
    <w:rsid w:val="001C4E52"/>
    <w:rsid w:val="001C4E85"/>
    <w:rsid w:val="001C581F"/>
    <w:rsid w:val="001C6C6E"/>
    <w:rsid w:val="001C739D"/>
    <w:rsid w:val="001C7B45"/>
    <w:rsid w:val="001D1028"/>
    <w:rsid w:val="001D2456"/>
    <w:rsid w:val="001D2460"/>
    <w:rsid w:val="001D299A"/>
    <w:rsid w:val="001D4CD6"/>
    <w:rsid w:val="001D722C"/>
    <w:rsid w:val="001E2EB6"/>
    <w:rsid w:val="001E3C82"/>
    <w:rsid w:val="001E42D5"/>
    <w:rsid w:val="001E4B9F"/>
    <w:rsid w:val="001F0511"/>
    <w:rsid w:val="001F0B17"/>
    <w:rsid w:val="001F1CFB"/>
    <w:rsid w:val="001F235E"/>
    <w:rsid w:val="001F6626"/>
    <w:rsid w:val="00200E3E"/>
    <w:rsid w:val="0020179D"/>
    <w:rsid w:val="002031B8"/>
    <w:rsid w:val="0021227C"/>
    <w:rsid w:val="00212A20"/>
    <w:rsid w:val="002247D9"/>
    <w:rsid w:val="0022545F"/>
    <w:rsid w:val="00226BF7"/>
    <w:rsid w:val="002302CF"/>
    <w:rsid w:val="002308D7"/>
    <w:rsid w:val="00231032"/>
    <w:rsid w:val="0023421E"/>
    <w:rsid w:val="002369FF"/>
    <w:rsid w:val="002413AA"/>
    <w:rsid w:val="00241BF7"/>
    <w:rsid w:val="00241C98"/>
    <w:rsid w:val="00243197"/>
    <w:rsid w:val="002459A1"/>
    <w:rsid w:val="002501E0"/>
    <w:rsid w:val="002506A8"/>
    <w:rsid w:val="002525A9"/>
    <w:rsid w:val="00252699"/>
    <w:rsid w:val="00252A8A"/>
    <w:rsid w:val="002552DF"/>
    <w:rsid w:val="00256BF8"/>
    <w:rsid w:val="00262CA4"/>
    <w:rsid w:val="00263EEC"/>
    <w:rsid w:val="0026484C"/>
    <w:rsid w:val="002648D8"/>
    <w:rsid w:val="002652DC"/>
    <w:rsid w:val="00265D12"/>
    <w:rsid w:val="00266F06"/>
    <w:rsid w:val="002727B7"/>
    <w:rsid w:val="00273837"/>
    <w:rsid w:val="00275322"/>
    <w:rsid w:val="00275659"/>
    <w:rsid w:val="002770A6"/>
    <w:rsid w:val="0027759B"/>
    <w:rsid w:val="00277E31"/>
    <w:rsid w:val="002800E5"/>
    <w:rsid w:val="00280506"/>
    <w:rsid w:val="002822F1"/>
    <w:rsid w:val="00284E0F"/>
    <w:rsid w:val="00285C31"/>
    <w:rsid w:val="00285F16"/>
    <w:rsid w:val="0028706C"/>
    <w:rsid w:val="00290CE0"/>
    <w:rsid w:val="00291238"/>
    <w:rsid w:val="00295775"/>
    <w:rsid w:val="00296FFE"/>
    <w:rsid w:val="0029775D"/>
    <w:rsid w:val="002A041A"/>
    <w:rsid w:val="002A2998"/>
    <w:rsid w:val="002A45D0"/>
    <w:rsid w:val="002A5FD9"/>
    <w:rsid w:val="002B131C"/>
    <w:rsid w:val="002B16CF"/>
    <w:rsid w:val="002B18F2"/>
    <w:rsid w:val="002B28F0"/>
    <w:rsid w:val="002B2EC6"/>
    <w:rsid w:val="002B3802"/>
    <w:rsid w:val="002B53A9"/>
    <w:rsid w:val="002B55E6"/>
    <w:rsid w:val="002B61A0"/>
    <w:rsid w:val="002B6D41"/>
    <w:rsid w:val="002C2461"/>
    <w:rsid w:val="002C24BA"/>
    <w:rsid w:val="002C2506"/>
    <w:rsid w:val="002C40B0"/>
    <w:rsid w:val="002C6A4F"/>
    <w:rsid w:val="002C714A"/>
    <w:rsid w:val="002C7ACC"/>
    <w:rsid w:val="002D3227"/>
    <w:rsid w:val="002D39DC"/>
    <w:rsid w:val="002D3DE0"/>
    <w:rsid w:val="002D4651"/>
    <w:rsid w:val="002D6D8E"/>
    <w:rsid w:val="002D7ACF"/>
    <w:rsid w:val="002E3001"/>
    <w:rsid w:val="002E3DE1"/>
    <w:rsid w:val="002E508F"/>
    <w:rsid w:val="002E5AD4"/>
    <w:rsid w:val="002E76D4"/>
    <w:rsid w:val="002E776F"/>
    <w:rsid w:val="002F49AF"/>
    <w:rsid w:val="002F52AE"/>
    <w:rsid w:val="002F5635"/>
    <w:rsid w:val="002F67FE"/>
    <w:rsid w:val="00300636"/>
    <w:rsid w:val="00301E7F"/>
    <w:rsid w:val="00302F20"/>
    <w:rsid w:val="0030302A"/>
    <w:rsid w:val="00303B5A"/>
    <w:rsid w:val="00303D17"/>
    <w:rsid w:val="00307687"/>
    <w:rsid w:val="003108FB"/>
    <w:rsid w:val="00310F2E"/>
    <w:rsid w:val="00312FF5"/>
    <w:rsid w:val="00320FB5"/>
    <w:rsid w:val="0032420C"/>
    <w:rsid w:val="0033085A"/>
    <w:rsid w:val="003334FC"/>
    <w:rsid w:val="003359D0"/>
    <w:rsid w:val="00337BF0"/>
    <w:rsid w:val="003400AD"/>
    <w:rsid w:val="00341378"/>
    <w:rsid w:val="00341643"/>
    <w:rsid w:val="0034775C"/>
    <w:rsid w:val="003508A9"/>
    <w:rsid w:val="003526E9"/>
    <w:rsid w:val="00353E77"/>
    <w:rsid w:val="00357572"/>
    <w:rsid w:val="0036022E"/>
    <w:rsid w:val="00361132"/>
    <w:rsid w:val="00361F91"/>
    <w:rsid w:val="0036407E"/>
    <w:rsid w:val="0036525D"/>
    <w:rsid w:val="00367253"/>
    <w:rsid w:val="0037187E"/>
    <w:rsid w:val="00371C06"/>
    <w:rsid w:val="00372337"/>
    <w:rsid w:val="00376060"/>
    <w:rsid w:val="00377E5E"/>
    <w:rsid w:val="00380B86"/>
    <w:rsid w:val="003815DB"/>
    <w:rsid w:val="00382079"/>
    <w:rsid w:val="00383751"/>
    <w:rsid w:val="003844C1"/>
    <w:rsid w:val="003906F1"/>
    <w:rsid w:val="00390872"/>
    <w:rsid w:val="00391FE1"/>
    <w:rsid w:val="003951CA"/>
    <w:rsid w:val="0039529B"/>
    <w:rsid w:val="003952DA"/>
    <w:rsid w:val="003A201E"/>
    <w:rsid w:val="003A3904"/>
    <w:rsid w:val="003A4A5B"/>
    <w:rsid w:val="003B0924"/>
    <w:rsid w:val="003B1815"/>
    <w:rsid w:val="003B1EE1"/>
    <w:rsid w:val="003B2B06"/>
    <w:rsid w:val="003B50CA"/>
    <w:rsid w:val="003B5A8C"/>
    <w:rsid w:val="003B79C8"/>
    <w:rsid w:val="003B7A84"/>
    <w:rsid w:val="003C04CE"/>
    <w:rsid w:val="003C0BEB"/>
    <w:rsid w:val="003C3657"/>
    <w:rsid w:val="003C3999"/>
    <w:rsid w:val="003C493C"/>
    <w:rsid w:val="003C63FB"/>
    <w:rsid w:val="003C681E"/>
    <w:rsid w:val="003C7940"/>
    <w:rsid w:val="003D04CB"/>
    <w:rsid w:val="003D37FD"/>
    <w:rsid w:val="003D3CFE"/>
    <w:rsid w:val="003D72C1"/>
    <w:rsid w:val="003E240C"/>
    <w:rsid w:val="003E57BB"/>
    <w:rsid w:val="003E6706"/>
    <w:rsid w:val="003E754A"/>
    <w:rsid w:val="003F0C29"/>
    <w:rsid w:val="003F3806"/>
    <w:rsid w:val="003F391C"/>
    <w:rsid w:val="003F646D"/>
    <w:rsid w:val="004003FD"/>
    <w:rsid w:val="004009EA"/>
    <w:rsid w:val="0040226E"/>
    <w:rsid w:val="004041C0"/>
    <w:rsid w:val="00404513"/>
    <w:rsid w:val="00404902"/>
    <w:rsid w:val="004110D5"/>
    <w:rsid w:val="0041297B"/>
    <w:rsid w:val="0041397C"/>
    <w:rsid w:val="00415016"/>
    <w:rsid w:val="00415339"/>
    <w:rsid w:val="00416F7E"/>
    <w:rsid w:val="00421D56"/>
    <w:rsid w:val="00422688"/>
    <w:rsid w:val="00427F77"/>
    <w:rsid w:val="0043089B"/>
    <w:rsid w:val="00432632"/>
    <w:rsid w:val="00432F16"/>
    <w:rsid w:val="004330F4"/>
    <w:rsid w:val="004331CE"/>
    <w:rsid w:val="0043322B"/>
    <w:rsid w:val="004357E1"/>
    <w:rsid w:val="00435AB7"/>
    <w:rsid w:val="00437839"/>
    <w:rsid w:val="0044045D"/>
    <w:rsid w:val="00441F7C"/>
    <w:rsid w:val="004423A2"/>
    <w:rsid w:val="00443B9D"/>
    <w:rsid w:val="004504B8"/>
    <w:rsid w:val="00451685"/>
    <w:rsid w:val="0045389D"/>
    <w:rsid w:val="0045649D"/>
    <w:rsid w:val="00456557"/>
    <w:rsid w:val="00456692"/>
    <w:rsid w:val="004566F1"/>
    <w:rsid w:val="004571DE"/>
    <w:rsid w:val="00457E38"/>
    <w:rsid w:val="00460BC2"/>
    <w:rsid w:val="004614D1"/>
    <w:rsid w:val="00462C7D"/>
    <w:rsid w:val="00464FA8"/>
    <w:rsid w:val="00466929"/>
    <w:rsid w:val="00466D17"/>
    <w:rsid w:val="00471AE4"/>
    <w:rsid w:val="00473578"/>
    <w:rsid w:val="00474481"/>
    <w:rsid w:val="00475FD2"/>
    <w:rsid w:val="0047719C"/>
    <w:rsid w:val="00477A99"/>
    <w:rsid w:val="00477CEB"/>
    <w:rsid w:val="00481A41"/>
    <w:rsid w:val="00481DC3"/>
    <w:rsid w:val="00483E97"/>
    <w:rsid w:val="00485396"/>
    <w:rsid w:val="00485E6B"/>
    <w:rsid w:val="00485F54"/>
    <w:rsid w:val="00486AA2"/>
    <w:rsid w:val="004921B6"/>
    <w:rsid w:val="004941BA"/>
    <w:rsid w:val="00494292"/>
    <w:rsid w:val="00496C9B"/>
    <w:rsid w:val="00497318"/>
    <w:rsid w:val="004A05F6"/>
    <w:rsid w:val="004A105B"/>
    <w:rsid w:val="004A1E22"/>
    <w:rsid w:val="004A26FB"/>
    <w:rsid w:val="004A281D"/>
    <w:rsid w:val="004A62B1"/>
    <w:rsid w:val="004B01B3"/>
    <w:rsid w:val="004B086A"/>
    <w:rsid w:val="004B3D2C"/>
    <w:rsid w:val="004B6CEB"/>
    <w:rsid w:val="004D21F2"/>
    <w:rsid w:val="004D510B"/>
    <w:rsid w:val="004E1A20"/>
    <w:rsid w:val="004E2290"/>
    <w:rsid w:val="004E305B"/>
    <w:rsid w:val="004E50ED"/>
    <w:rsid w:val="004E52BA"/>
    <w:rsid w:val="004E78DD"/>
    <w:rsid w:val="004E7E16"/>
    <w:rsid w:val="004F08E2"/>
    <w:rsid w:val="004F0B77"/>
    <w:rsid w:val="004F13A2"/>
    <w:rsid w:val="004F163D"/>
    <w:rsid w:val="004F1759"/>
    <w:rsid w:val="004F25CE"/>
    <w:rsid w:val="004F34C0"/>
    <w:rsid w:val="004F3F88"/>
    <w:rsid w:val="004F50F9"/>
    <w:rsid w:val="004F6D25"/>
    <w:rsid w:val="004F723E"/>
    <w:rsid w:val="00502910"/>
    <w:rsid w:val="00503122"/>
    <w:rsid w:val="00503F96"/>
    <w:rsid w:val="00504309"/>
    <w:rsid w:val="00510247"/>
    <w:rsid w:val="005105F9"/>
    <w:rsid w:val="005134F4"/>
    <w:rsid w:val="00514EAA"/>
    <w:rsid w:val="00515BE0"/>
    <w:rsid w:val="00520266"/>
    <w:rsid w:val="00521822"/>
    <w:rsid w:val="005248B5"/>
    <w:rsid w:val="00525509"/>
    <w:rsid w:val="00525A7D"/>
    <w:rsid w:val="00527A6A"/>
    <w:rsid w:val="005305FC"/>
    <w:rsid w:val="0053471D"/>
    <w:rsid w:val="00536074"/>
    <w:rsid w:val="00537679"/>
    <w:rsid w:val="005415A3"/>
    <w:rsid w:val="00542990"/>
    <w:rsid w:val="00543E93"/>
    <w:rsid w:val="00547B31"/>
    <w:rsid w:val="005504FC"/>
    <w:rsid w:val="00550688"/>
    <w:rsid w:val="00550AF0"/>
    <w:rsid w:val="00551AA3"/>
    <w:rsid w:val="00553160"/>
    <w:rsid w:val="00553377"/>
    <w:rsid w:val="0055516F"/>
    <w:rsid w:val="00555C67"/>
    <w:rsid w:val="005627B6"/>
    <w:rsid w:val="0057129D"/>
    <w:rsid w:val="00571FFE"/>
    <w:rsid w:val="005728A9"/>
    <w:rsid w:val="005779BC"/>
    <w:rsid w:val="005800C1"/>
    <w:rsid w:val="00580BE3"/>
    <w:rsid w:val="00582212"/>
    <w:rsid w:val="00584791"/>
    <w:rsid w:val="00584974"/>
    <w:rsid w:val="00585F03"/>
    <w:rsid w:val="00590ED5"/>
    <w:rsid w:val="00592D07"/>
    <w:rsid w:val="005945C8"/>
    <w:rsid w:val="005945CC"/>
    <w:rsid w:val="00596204"/>
    <w:rsid w:val="005A0972"/>
    <w:rsid w:val="005A13C6"/>
    <w:rsid w:val="005A2003"/>
    <w:rsid w:val="005A39C8"/>
    <w:rsid w:val="005A470C"/>
    <w:rsid w:val="005A5124"/>
    <w:rsid w:val="005A5B22"/>
    <w:rsid w:val="005A7F7F"/>
    <w:rsid w:val="005B2579"/>
    <w:rsid w:val="005B2B6D"/>
    <w:rsid w:val="005B3D65"/>
    <w:rsid w:val="005C6D8D"/>
    <w:rsid w:val="005D16EC"/>
    <w:rsid w:val="005D1EFE"/>
    <w:rsid w:val="005D2EAA"/>
    <w:rsid w:val="005D3ED8"/>
    <w:rsid w:val="005D7A96"/>
    <w:rsid w:val="005E3025"/>
    <w:rsid w:val="005E351F"/>
    <w:rsid w:val="005E7613"/>
    <w:rsid w:val="005F0CDD"/>
    <w:rsid w:val="005F40F0"/>
    <w:rsid w:val="005F4F49"/>
    <w:rsid w:val="005F6024"/>
    <w:rsid w:val="005F6F6F"/>
    <w:rsid w:val="005F78D8"/>
    <w:rsid w:val="005F7C69"/>
    <w:rsid w:val="0060386C"/>
    <w:rsid w:val="00604B1B"/>
    <w:rsid w:val="006056F5"/>
    <w:rsid w:val="00606885"/>
    <w:rsid w:val="0060775A"/>
    <w:rsid w:val="006116A8"/>
    <w:rsid w:val="006128A9"/>
    <w:rsid w:val="00612B75"/>
    <w:rsid w:val="00614682"/>
    <w:rsid w:val="00614BB0"/>
    <w:rsid w:val="006166BE"/>
    <w:rsid w:val="006232CA"/>
    <w:rsid w:val="006240FC"/>
    <w:rsid w:val="00626925"/>
    <w:rsid w:val="00633762"/>
    <w:rsid w:val="00635077"/>
    <w:rsid w:val="0063620B"/>
    <w:rsid w:val="006366AE"/>
    <w:rsid w:val="00641728"/>
    <w:rsid w:val="00646399"/>
    <w:rsid w:val="0064757A"/>
    <w:rsid w:val="006504F1"/>
    <w:rsid w:val="00652338"/>
    <w:rsid w:val="00660FC2"/>
    <w:rsid w:val="006717F5"/>
    <w:rsid w:val="00674E00"/>
    <w:rsid w:val="0067516E"/>
    <w:rsid w:val="0068184D"/>
    <w:rsid w:val="00681A4F"/>
    <w:rsid w:val="00686593"/>
    <w:rsid w:val="00686A1A"/>
    <w:rsid w:val="00687380"/>
    <w:rsid w:val="00691482"/>
    <w:rsid w:val="006928D4"/>
    <w:rsid w:val="006944F5"/>
    <w:rsid w:val="0069569B"/>
    <w:rsid w:val="006964AF"/>
    <w:rsid w:val="00697333"/>
    <w:rsid w:val="006A3A27"/>
    <w:rsid w:val="006A435C"/>
    <w:rsid w:val="006A4967"/>
    <w:rsid w:val="006A777F"/>
    <w:rsid w:val="006A7E9D"/>
    <w:rsid w:val="006B0196"/>
    <w:rsid w:val="006B3F20"/>
    <w:rsid w:val="006B46A8"/>
    <w:rsid w:val="006B590C"/>
    <w:rsid w:val="006C132F"/>
    <w:rsid w:val="006C1E06"/>
    <w:rsid w:val="006C2179"/>
    <w:rsid w:val="006C35CA"/>
    <w:rsid w:val="006C3F30"/>
    <w:rsid w:val="006C6028"/>
    <w:rsid w:val="006C7DC9"/>
    <w:rsid w:val="006D1A5B"/>
    <w:rsid w:val="006D2B07"/>
    <w:rsid w:val="006D3B31"/>
    <w:rsid w:val="006E132E"/>
    <w:rsid w:val="006E16B2"/>
    <w:rsid w:val="006E5AA1"/>
    <w:rsid w:val="006E5B1C"/>
    <w:rsid w:val="006F0C69"/>
    <w:rsid w:val="006F0F00"/>
    <w:rsid w:val="006F2B1B"/>
    <w:rsid w:val="006F529B"/>
    <w:rsid w:val="006F67AF"/>
    <w:rsid w:val="006F6CD4"/>
    <w:rsid w:val="00714754"/>
    <w:rsid w:val="007166B5"/>
    <w:rsid w:val="007225F4"/>
    <w:rsid w:val="007300A3"/>
    <w:rsid w:val="007324A6"/>
    <w:rsid w:val="007324DE"/>
    <w:rsid w:val="00733EFC"/>
    <w:rsid w:val="0074494C"/>
    <w:rsid w:val="00746712"/>
    <w:rsid w:val="007546F9"/>
    <w:rsid w:val="0075606A"/>
    <w:rsid w:val="007563E2"/>
    <w:rsid w:val="007624A1"/>
    <w:rsid w:val="00765C40"/>
    <w:rsid w:val="00766515"/>
    <w:rsid w:val="00766C82"/>
    <w:rsid w:val="00771083"/>
    <w:rsid w:val="00772587"/>
    <w:rsid w:val="00772601"/>
    <w:rsid w:val="007729A3"/>
    <w:rsid w:val="00773911"/>
    <w:rsid w:val="00773BB9"/>
    <w:rsid w:val="0077718A"/>
    <w:rsid w:val="0077732A"/>
    <w:rsid w:val="007819E2"/>
    <w:rsid w:val="00783147"/>
    <w:rsid w:val="007840E9"/>
    <w:rsid w:val="0078538E"/>
    <w:rsid w:val="0079199C"/>
    <w:rsid w:val="00792714"/>
    <w:rsid w:val="007947C4"/>
    <w:rsid w:val="007A3132"/>
    <w:rsid w:val="007A3EED"/>
    <w:rsid w:val="007A4482"/>
    <w:rsid w:val="007A7938"/>
    <w:rsid w:val="007B134B"/>
    <w:rsid w:val="007B20F0"/>
    <w:rsid w:val="007B2595"/>
    <w:rsid w:val="007C260D"/>
    <w:rsid w:val="007C2B76"/>
    <w:rsid w:val="007C4E94"/>
    <w:rsid w:val="007D2375"/>
    <w:rsid w:val="007D63B8"/>
    <w:rsid w:val="007D7112"/>
    <w:rsid w:val="007D7FC1"/>
    <w:rsid w:val="007E0DED"/>
    <w:rsid w:val="007F2CD3"/>
    <w:rsid w:val="007F3FD8"/>
    <w:rsid w:val="007F5879"/>
    <w:rsid w:val="007F6B4F"/>
    <w:rsid w:val="007F6ED2"/>
    <w:rsid w:val="00802062"/>
    <w:rsid w:val="00804DA5"/>
    <w:rsid w:val="008069A8"/>
    <w:rsid w:val="008125A4"/>
    <w:rsid w:val="0081299C"/>
    <w:rsid w:val="008130A9"/>
    <w:rsid w:val="008178C8"/>
    <w:rsid w:val="00821185"/>
    <w:rsid w:val="00822057"/>
    <w:rsid w:val="00827446"/>
    <w:rsid w:val="00830FA6"/>
    <w:rsid w:val="008337DE"/>
    <w:rsid w:val="00834BCF"/>
    <w:rsid w:val="00835EAF"/>
    <w:rsid w:val="00837B7B"/>
    <w:rsid w:val="008459FA"/>
    <w:rsid w:val="00845D96"/>
    <w:rsid w:val="00847D00"/>
    <w:rsid w:val="008503D8"/>
    <w:rsid w:val="00855D2E"/>
    <w:rsid w:val="00857785"/>
    <w:rsid w:val="008577AB"/>
    <w:rsid w:val="00860946"/>
    <w:rsid w:val="00860D52"/>
    <w:rsid w:val="008618CF"/>
    <w:rsid w:val="00861A01"/>
    <w:rsid w:val="00861C6F"/>
    <w:rsid w:val="00864A0B"/>
    <w:rsid w:val="008655FD"/>
    <w:rsid w:val="0086754E"/>
    <w:rsid w:val="00874D6E"/>
    <w:rsid w:val="00875C41"/>
    <w:rsid w:val="00876EF8"/>
    <w:rsid w:val="00882321"/>
    <w:rsid w:val="008828E4"/>
    <w:rsid w:val="00882AAF"/>
    <w:rsid w:val="0088301F"/>
    <w:rsid w:val="008839EC"/>
    <w:rsid w:val="008847BC"/>
    <w:rsid w:val="0088686A"/>
    <w:rsid w:val="00886E66"/>
    <w:rsid w:val="008875AF"/>
    <w:rsid w:val="00891040"/>
    <w:rsid w:val="008914E0"/>
    <w:rsid w:val="008A17BC"/>
    <w:rsid w:val="008A239F"/>
    <w:rsid w:val="008A5C7C"/>
    <w:rsid w:val="008A62C2"/>
    <w:rsid w:val="008A7E70"/>
    <w:rsid w:val="008B0C51"/>
    <w:rsid w:val="008B4310"/>
    <w:rsid w:val="008B51D2"/>
    <w:rsid w:val="008C0B91"/>
    <w:rsid w:val="008C4369"/>
    <w:rsid w:val="008C5150"/>
    <w:rsid w:val="008C7B71"/>
    <w:rsid w:val="008D28E9"/>
    <w:rsid w:val="008D4EDD"/>
    <w:rsid w:val="008D503C"/>
    <w:rsid w:val="008D57F6"/>
    <w:rsid w:val="008D6DEF"/>
    <w:rsid w:val="008E2C53"/>
    <w:rsid w:val="008E3281"/>
    <w:rsid w:val="008E5EA1"/>
    <w:rsid w:val="008F44D7"/>
    <w:rsid w:val="008F5E3F"/>
    <w:rsid w:val="008F7711"/>
    <w:rsid w:val="00902A39"/>
    <w:rsid w:val="0090373C"/>
    <w:rsid w:val="00910F76"/>
    <w:rsid w:val="00914739"/>
    <w:rsid w:val="009147DC"/>
    <w:rsid w:val="00915C34"/>
    <w:rsid w:val="00917724"/>
    <w:rsid w:val="00921B86"/>
    <w:rsid w:val="0092239E"/>
    <w:rsid w:val="00924D72"/>
    <w:rsid w:val="0092638C"/>
    <w:rsid w:val="0092688E"/>
    <w:rsid w:val="00926F8E"/>
    <w:rsid w:val="0093124B"/>
    <w:rsid w:val="00933195"/>
    <w:rsid w:val="00933A5B"/>
    <w:rsid w:val="00936DD0"/>
    <w:rsid w:val="009431D3"/>
    <w:rsid w:val="0094348C"/>
    <w:rsid w:val="00944AFA"/>
    <w:rsid w:val="00944ED3"/>
    <w:rsid w:val="009457D4"/>
    <w:rsid w:val="00945DE5"/>
    <w:rsid w:val="0094634A"/>
    <w:rsid w:val="00952B54"/>
    <w:rsid w:val="00956CE5"/>
    <w:rsid w:val="00963169"/>
    <w:rsid w:val="00965FB3"/>
    <w:rsid w:val="00970D7A"/>
    <w:rsid w:val="00971D32"/>
    <w:rsid w:val="00972720"/>
    <w:rsid w:val="00973995"/>
    <w:rsid w:val="00980D2F"/>
    <w:rsid w:val="00981B7F"/>
    <w:rsid w:val="00982070"/>
    <w:rsid w:val="0098310C"/>
    <w:rsid w:val="00985923"/>
    <w:rsid w:val="0098613C"/>
    <w:rsid w:val="00987B23"/>
    <w:rsid w:val="009913B0"/>
    <w:rsid w:val="00991457"/>
    <w:rsid w:val="00993D9F"/>
    <w:rsid w:val="00993DD0"/>
    <w:rsid w:val="00995A46"/>
    <w:rsid w:val="00995C67"/>
    <w:rsid w:val="009961A9"/>
    <w:rsid w:val="00996999"/>
    <w:rsid w:val="0099730B"/>
    <w:rsid w:val="009A2AA0"/>
    <w:rsid w:val="009A3292"/>
    <w:rsid w:val="009A3E2B"/>
    <w:rsid w:val="009A404E"/>
    <w:rsid w:val="009A4D18"/>
    <w:rsid w:val="009B079D"/>
    <w:rsid w:val="009B1508"/>
    <w:rsid w:val="009B2C50"/>
    <w:rsid w:val="009B2D04"/>
    <w:rsid w:val="009B3494"/>
    <w:rsid w:val="009B5501"/>
    <w:rsid w:val="009B699C"/>
    <w:rsid w:val="009B6A08"/>
    <w:rsid w:val="009B7E1B"/>
    <w:rsid w:val="009C2470"/>
    <w:rsid w:val="009C2AD0"/>
    <w:rsid w:val="009C39E7"/>
    <w:rsid w:val="009C4E96"/>
    <w:rsid w:val="009C53F3"/>
    <w:rsid w:val="009D0AA6"/>
    <w:rsid w:val="009D1E57"/>
    <w:rsid w:val="009D255A"/>
    <w:rsid w:val="009D3932"/>
    <w:rsid w:val="009D47CE"/>
    <w:rsid w:val="009D5DCA"/>
    <w:rsid w:val="009D68D9"/>
    <w:rsid w:val="009E1245"/>
    <w:rsid w:val="009E199C"/>
    <w:rsid w:val="009E2AF3"/>
    <w:rsid w:val="009E380D"/>
    <w:rsid w:val="009E4457"/>
    <w:rsid w:val="009E4731"/>
    <w:rsid w:val="009E54F3"/>
    <w:rsid w:val="009F0973"/>
    <w:rsid w:val="009F11D7"/>
    <w:rsid w:val="009F297A"/>
    <w:rsid w:val="009F3F1D"/>
    <w:rsid w:val="009F7E67"/>
    <w:rsid w:val="00A00197"/>
    <w:rsid w:val="00A00881"/>
    <w:rsid w:val="00A00FB3"/>
    <w:rsid w:val="00A02B18"/>
    <w:rsid w:val="00A054F9"/>
    <w:rsid w:val="00A07947"/>
    <w:rsid w:val="00A11121"/>
    <w:rsid w:val="00A12971"/>
    <w:rsid w:val="00A13F19"/>
    <w:rsid w:val="00A155BA"/>
    <w:rsid w:val="00A1602F"/>
    <w:rsid w:val="00A23F29"/>
    <w:rsid w:val="00A24559"/>
    <w:rsid w:val="00A24636"/>
    <w:rsid w:val="00A27A29"/>
    <w:rsid w:val="00A27BBC"/>
    <w:rsid w:val="00A302A9"/>
    <w:rsid w:val="00A32DEB"/>
    <w:rsid w:val="00A345E8"/>
    <w:rsid w:val="00A37090"/>
    <w:rsid w:val="00A37689"/>
    <w:rsid w:val="00A4108F"/>
    <w:rsid w:val="00A4281B"/>
    <w:rsid w:val="00A4368F"/>
    <w:rsid w:val="00A43980"/>
    <w:rsid w:val="00A43A1E"/>
    <w:rsid w:val="00A43A7B"/>
    <w:rsid w:val="00A47038"/>
    <w:rsid w:val="00A500B1"/>
    <w:rsid w:val="00A50931"/>
    <w:rsid w:val="00A50D23"/>
    <w:rsid w:val="00A574F0"/>
    <w:rsid w:val="00A613E8"/>
    <w:rsid w:val="00A63D99"/>
    <w:rsid w:val="00A650DF"/>
    <w:rsid w:val="00A70080"/>
    <w:rsid w:val="00A75AC8"/>
    <w:rsid w:val="00A76886"/>
    <w:rsid w:val="00A769DA"/>
    <w:rsid w:val="00A805C9"/>
    <w:rsid w:val="00A81B9A"/>
    <w:rsid w:val="00A82E43"/>
    <w:rsid w:val="00A84477"/>
    <w:rsid w:val="00A878E7"/>
    <w:rsid w:val="00A906AC"/>
    <w:rsid w:val="00A90B79"/>
    <w:rsid w:val="00A93D95"/>
    <w:rsid w:val="00A940C9"/>
    <w:rsid w:val="00A964D6"/>
    <w:rsid w:val="00A97CB6"/>
    <w:rsid w:val="00A97F1F"/>
    <w:rsid w:val="00AA07E5"/>
    <w:rsid w:val="00AA1C16"/>
    <w:rsid w:val="00AA3C0F"/>
    <w:rsid w:val="00AA520A"/>
    <w:rsid w:val="00AA5BFA"/>
    <w:rsid w:val="00AB36DA"/>
    <w:rsid w:val="00AB3A30"/>
    <w:rsid w:val="00AC0623"/>
    <w:rsid w:val="00AC2CCB"/>
    <w:rsid w:val="00AC2DCF"/>
    <w:rsid w:val="00AD15AF"/>
    <w:rsid w:val="00AD6571"/>
    <w:rsid w:val="00AE098D"/>
    <w:rsid w:val="00AE1904"/>
    <w:rsid w:val="00AE42CB"/>
    <w:rsid w:val="00AF184D"/>
    <w:rsid w:val="00AF4BF2"/>
    <w:rsid w:val="00B01210"/>
    <w:rsid w:val="00B02BF7"/>
    <w:rsid w:val="00B0531F"/>
    <w:rsid w:val="00B07BD3"/>
    <w:rsid w:val="00B109D6"/>
    <w:rsid w:val="00B129F1"/>
    <w:rsid w:val="00B13E02"/>
    <w:rsid w:val="00B256EF"/>
    <w:rsid w:val="00B26995"/>
    <w:rsid w:val="00B26BAB"/>
    <w:rsid w:val="00B27382"/>
    <w:rsid w:val="00B2786F"/>
    <w:rsid w:val="00B27D55"/>
    <w:rsid w:val="00B321A1"/>
    <w:rsid w:val="00B32699"/>
    <w:rsid w:val="00B34CFE"/>
    <w:rsid w:val="00B368AC"/>
    <w:rsid w:val="00B3789E"/>
    <w:rsid w:val="00B378BB"/>
    <w:rsid w:val="00B37EE7"/>
    <w:rsid w:val="00B40221"/>
    <w:rsid w:val="00B40BA3"/>
    <w:rsid w:val="00B41415"/>
    <w:rsid w:val="00B42EFA"/>
    <w:rsid w:val="00B45EE0"/>
    <w:rsid w:val="00B46256"/>
    <w:rsid w:val="00B47100"/>
    <w:rsid w:val="00B50E5D"/>
    <w:rsid w:val="00B50EC4"/>
    <w:rsid w:val="00B52151"/>
    <w:rsid w:val="00B52538"/>
    <w:rsid w:val="00B545B3"/>
    <w:rsid w:val="00B57E84"/>
    <w:rsid w:val="00B60B9B"/>
    <w:rsid w:val="00B60C61"/>
    <w:rsid w:val="00B60DAF"/>
    <w:rsid w:val="00B61AFE"/>
    <w:rsid w:val="00B61B10"/>
    <w:rsid w:val="00B635F7"/>
    <w:rsid w:val="00B64193"/>
    <w:rsid w:val="00B64348"/>
    <w:rsid w:val="00B64DEF"/>
    <w:rsid w:val="00B7045A"/>
    <w:rsid w:val="00B70D18"/>
    <w:rsid w:val="00B71015"/>
    <w:rsid w:val="00B72A67"/>
    <w:rsid w:val="00B833C5"/>
    <w:rsid w:val="00B84433"/>
    <w:rsid w:val="00B916BB"/>
    <w:rsid w:val="00B92278"/>
    <w:rsid w:val="00B935D0"/>
    <w:rsid w:val="00B95200"/>
    <w:rsid w:val="00B95ABD"/>
    <w:rsid w:val="00B972BF"/>
    <w:rsid w:val="00BA0CC3"/>
    <w:rsid w:val="00BA446F"/>
    <w:rsid w:val="00BA6A59"/>
    <w:rsid w:val="00BB0BFA"/>
    <w:rsid w:val="00BB264D"/>
    <w:rsid w:val="00BB2A8A"/>
    <w:rsid w:val="00BB2E01"/>
    <w:rsid w:val="00BB338E"/>
    <w:rsid w:val="00BB3F7D"/>
    <w:rsid w:val="00BB4431"/>
    <w:rsid w:val="00BB78B2"/>
    <w:rsid w:val="00BC4409"/>
    <w:rsid w:val="00BC5350"/>
    <w:rsid w:val="00BC5CF4"/>
    <w:rsid w:val="00BC6974"/>
    <w:rsid w:val="00BD0E8D"/>
    <w:rsid w:val="00BD43BF"/>
    <w:rsid w:val="00BD5ADA"/>
    <w:rsid w:val="00BE5CCA"/>
    <w:rsid w:val="00BE731A"/>
    <w:rsid w:val="00BE7834"/>
    <w:rsid w:val="00BF034C"/>
    <w:rsid w:val="00BF23AA"/>
    <w:rsid w:val="00BF29D0"/>
    <w:rsid w:val="00BF7CB1"/>
    <w:rsid w:val="00C0344A"/>
    <w:rsid w:val="00C04527"/>
    <w:rsid w:val="00C06353"/>
    <w:rsid w:val="00C06673"/>
    <w:rsid w:val="00C14E71"/>
    <w:rsid w:val="00C201D6"/>
    <w:rsid w:val="00C216F8"/>
    <w:rsid w:val="00C219CE"/>
    <w:rsid w:val="00C23D10"/>
    <w:rsid w:val="00C23EAC"/>
    <w:rsid w:val="00C24E60"/>
    <w:rsid w:val="00C31F66"/>
    <w:rsid w:val="00C324C0"/>
    <w:rsid w:val="00C34AF9"/>
    <w:rsid w:val="00C34EE9"/>
    <w:rsid w:val="00C4204A"/>
    <w:rsid w:val="00C4304F"/>
    <w:rsid w:val="00C437D5"/>
    <w:rsid w:val="00C449D0"/>
    <w:rsid w:val="00C45CDB"/>
    <w:rsid w:val="00C472A7"/>
    <w:rsid w:val="00C47F2D"/>
    <w:rsid w:val="00C533C6"/>
    <w:rsid w:val="00C546C1"/>
    <w:rsid w:val="00C553AF"/>
    <w:rsid w:val="00C644A4"/>
    <w:rsid w:val="00C65DFC"/>
    <w:rsid w:val="00C670BE"/>
    <w:rsid w:val="00C71DAA"/>
    <w:rsid w:val="00C8044E"/>
    <w:rsid w:val="00C80EEE"/>
    <w:rsid w:val="00C81B19"/>
    <w:rsid w:val="00C83078"/>
    <w:rsid w:val="00C83D32"/>
    <w:rsid w:val="00C8523F"/>
    <w:rsid w:val="00C8556D"/>
    <w:rsid w:val="00C858F2"/>
    <w:rsid w:val="00C87329"/>
    <w:rsid w:val="00C90C8D"/>
    <w:rsid w:val="00C936A8"/>
    <w:rsid w:val="00C939AD"/>
    <w:rsid w:val="00C96467"/>
    <w:rsid w:val="00CA2E67"/>
    <w:rsid w:val="00CA3B1B"/>
    <w:rsid w:val="00CA445A"/>
    <w:rsid w:val="00CA6057"/>
    <w:rsid w:val="00CA65D5"/>
    <w:rsid w:val="00CA7EB9"/>
    <w:rsid w:val="00CB0735"/>
    <w:rsid w:val="00CB1C15"/>
    <w:rsid w:val="00CB245C"/>
    <w:rsid w:val="00CB287E"/>
    <w:rsid w:val="00CC08B8"/>
    <w:rsid w:val="00CC1C54"/>
    <w:rsid w:val="00CC49CF"/>
    <w:rsid w:val="00CC636E"/>
    <w:rsid w:val="00CD02B7"/>
    <w:rsid w:val="00CD0AAC"/>
    <w:rsid w:val="00CD37D7"/>
    <w:rsid w:val="00CD45DE"/>
    <w:rsid w:val="00CD7F53"/>
    <w:rsid w:val="00CE2FA5"/>
    <w:rsid w:val="00CE4224"/>
    <w:rsid w:val="00CE667F"/>
    <w:rsid w:val="00CE7FC2"/>
    <w:rsid w:val="00D00D12"/>
    <w:rsid w:val="00D030A6"/>
    <w:rsid w:val="00D03FA7"/>
    <w:rsid w:val="00D04D1A"/>
    <w:rsid w:val="00D14349"/>
    <w:rsid w:val="00D17F86"/>
    <w:rsid w:val="00D20E00"/>
    <w:rsid w:val="00D216D8"/>
    <w:rsid w:val="00D22471"/>
    <w:rsid w:val="00D232E2"/>
    <w:rsid w:val="00D247F3"/>
    <w:rsid w:val="00D251CD"/>
    <w:rsid w:val="00D26738"/>
    <w:rsid w:val="00D279D5"/>
    <w:rsid w:val="00D27DC8"/>
    <w:rsid w:val="00D30B7C"/>
    <w:rsid w:val="00D34290"/>
    <w:rsid w:val="00D3429C"/>
    <w:rsid w:val="00D40AEF"/>
    <w:rsid w:val="00D43D65"/>
    <w:rsid w:val="00D44426"/>
    <w:rsid w:val="00D44A6B"/>
    <w:rsid w:val="00D45601"/>
    <w:rsid w:val="00D46742"/>
    <w:rsid w:val="00D46BF9"/>
    <w:rsid w:val="00D46DAB"/>
    <w:rsid w:val="00D475F8"/>
    <w:rsid w:val="00D50CD8"/>
    <w:rsid w:val="00D52523"/>
    <w:rsid w:val="00D5469C"/>
    <w:rsid w:val="00D556F1"/>
    <w:rsid w:val="00D6030A"/>
    <w:rsid w:val="00D6082B"/>
    <w:rsid w:val="00D62958"/>
    <w:rsid w:val="00D62C30"/>
    <w:rsid w:val="00D62D9E"/>
    <w:rsid w:val="00D65BE3"/>
    <w:rsid w:val="00D662AC"/>
    <w:rsid w:val="00D67D75"/>
    <w:rsid w:val="00D711E0"/>
    <w:rsid w:val="00D726D8"/>
    <w:rsid w:val="00D73EBE"/>
    <w:rsid w:val="00D81131"/>
    <w:rsid w:val="00D823C6"/>
    <w:rsid w:val="00D86E4F"/>
    <w:rsid w:val="00D87B22"/>
    <w:rsid w:val="00D902E1"/>
    <w:rsid w:val="00D92271"/>
    <w:rsid w:val="00D92F13"/>
    <w:rsid w:val="00D9564F"/>
    <w:rsid w:val="00D95686"/>
    <w:rsid w:val="00D96108"/>
    <w:rsid w:val="00D96896"/>
    <w:rsid w:val="00D974D4"/>
    <w:rsid w:val="00D975AB"/>
    <w:rsid w:val="00D97668"/>
    <w:rsid w:val="00D978C5"/>
    <w:rsid w:val="00DA38AA"/>
    <w:rsid w:val="00DB04F6"/>
    <w:rsid w:val="00DB324E"/>
    <w:rsid w:val="00DB42CF"/>
    <w:rsid w:val="00DB5964"/>
    <w:rsid w:val="00DB6919"/>
    <w:rsid w:val="00DB784B"/>
    <w:rsid w:val="00DB7AB9"/>
    <w:rsid w:val="00DC0AC6"/>
    <w:rsid w:val="00DC1A7F"/>
    <w:rsid w:val="00DC279B"/>
    <w:rsid w:val="00DC7B4E"/>
    <w:rsid w:val="00DD18F9"/>
    <w:rsid w:val="00DD3895"/>
    <w:rsid w:val="00DE104E"/>
    <w:rsid w:val="00DE1DF0"/>
    <w:rsid w:val="00DE32F1"/>
    <w:rsid w:val="00DE6750"/>
    <w:rsid w:val="00DE72EB"/>
    <w:rsid w:val="00DF0458"/>
    <w:rsid w:val="00DF26A7"/>
    <w:rsid w:val="00DF3818"/>
    <w:rsid w:val="00DF4149"/>
    <w:rsid w:val="00E00EF0"/>
    <w:rsid w:val="00E03316"/>
    <w:rsid w:val="00E046F8"/>
    <w:rsid w:val="00E1183A"/>
    <w:rsid w:val="00E1323A"/>
    <w:rsid w:val="00E134B3"/>
    <w:rsid w:val="00E1487A"/>
    <w:rsid w:val="00E14A29"/>
    <w:rsid w:val="00E16CED"/>
    <w:rsid w:val="00E20DB0"/>
    <w:rsid w:val="00E21396"/>
    <w:rsid w:val="00E217D0"/>
    <w:rsid w:val="00E22BC9"/>
    <w:rsid w:val="00E258A9"/>
    <w:rsid w:val="00E337E3"/>
    <w:rsid w:val="00E40806"/>
    <w:rsid w:val="00E408B5"/>
    <w:rsid w:val="00E41D13"/>
    <w:rsid w:val="00E425DE"/>
    <w:rsid w:val="00E434FC"/>
    <w:rsid w:val="00E43EA2"/>
    <w:rsid w:val="00E47097"/>
    <w:rsid w:val="00E47C7D"/>
    <w:rsid w:val="00E50530"/>
    <w:rsid w:val="00E510AC"/>
    <w:rsid w:val="00E522DC"/>
    <w:rsid w:val="00E56F8C"/>
    <w:rsid w:val="00E57A9B"/>
    <w:rsid w:val="00E60254"/>
    <w:rsid w:val="00E616B1"/>
    <w:rsid w:val="00E61962"/>
    <w:rsid w:val="00E63A61"/>
    <w:rsid w:val="00E7067F"/>
    <w:rsid w:val="00E706F7"/>
    <w:rsid w:val="00E7282A"/>
    <w:rsid w:val="00E735FB"/>
    <w:rsid w:val="00E74329"/>
    <w:rsid w:val="00E763CE"/>
    <w:rsid w:val="00E76AE5"/>
    <w:rsid w:val="00E80656"/>
    <w:rsid w:val="00E818B5"/>
    <w:rsid w:val="00E8267F"/>
    <w:rsid w:val="00E837D1"/>
    <w:rsid w:val="00E86786"/>
    <w:rsid w:val="00E878D2"/>
    <w:rsid w:val="00E9006D"/>
    <w:rsid w:val="00E90770"/>
    <w:rsid w:val="00E90AD0"/>
    <w:rsid w:val="00E943C8"/>
    <w:rsid w:val="00E94AAE"/>
    <w:rsid w:val="00E9566D"/>
    <w:rsid w:val="00E96A06"/>
    <w:rsid w:val="00E96E5A"/>
    <w:rsid w:val="00EA0AF8"/>
    <w:rsid w:val="00EA230C"/>
    <w:rsid w:val="00EA4C8D"/>
    <w:rsid w:val="00EA4FF1"/>
    <w:rsid w:val="00EB0138"/>
    <w:rsid w:val="00EB0431"/>
    <w:rsid w:val="00EB1371"/>
    <w:rsid w:val="00EB1532"/>
    <w:rsid w:val="00EB2565"/>
    <w:rsid w:val="00EB5867"/>
    <w:rsid w:val="00EB5C64"/>
    <w:rsid w:val="00EB7CA9"/>
    <w:rsid w:val="00EC1B06"/>
    <w:rsid w:val="00EC2126"/>
    <w:rsid w:val="00EC3A35"/>
    <w:rsid w:val="00EC6CF3"/>
    <w:rsid w:val="00ED361B"/>
    <w:rsid w:val="00ED4654"/>
    <w:rsid w:val="00ED4D4D"/>
    <w:rsid w:val="00ED5335"/>
    <w:rsid w:val="00EE0AB0"/>
    <w:rsid w:val="00EE4AAF"/>
    <w:rsid w:val="00EE4EE4"/>
    <w:rsid w:val="00EE67DB"/>
    <w:rsid w:val="00EF1BFD"/>
    <w:rsid w:val="00EF1F85"/>
    <w:rsid w:val="00EF25B1"/>
    <w:rsid w:val="00EF5688"/>
    <w:rsid w:val="00EF73AA"/>
    <w:rsid w:val="00F009DA"/>
    <w:rsid w:val="00F01514"/>
    <w:rsid w:val="00F01ABC"/>
    <w:rsid w:val="00F01FB4"/>
    <w:rsid w:val="00F03516"/>
    <w:rsid w:val="00F0527C"/>
    <w:rsid w:val="00F10127"/>
    <w:rsid w:val="00F16C19"/>
    <w:rsid w:val="00F22677"/>
    <w:rsid w:val="00F2497A"/>
    <w:rsid w:val="00F24B2C"/>
    <w:rsid w:val="00F255E6"/>
    <w:rsid w:val="00F27118"/>
    <w:rsid w:val="00F30559"/>
    <w:rsid w:val="00F30E2F"/>
    <w:rsid w:val="00F31404"/>
    <w:rsid w:val="00F32CFD"/>
    <w:rsid w:val="00F33F89"/>
    <w:rsid w:val="00F34549"/>
    <w:rsid w:val="00F35AEB"/>
    <w:rsid w:val="00F35E0E"/>
    <w:rsid w:val="00F50008"/>
    <w:rsid w:val="00F51D2B"/>
    <w:rsid w:val="00F54858"/>
    <w:rsid w:val="00F56542"/>
    <w:rsid w:val="00F566EF"/>
    <w:rsid w:val="00F56DDF"/>
    <w:rsid w:val="00F57FBB"/>
    <w:rsid w:val="00F61F08"/>
    <w:rsid w:val="00F63045"/>
    <w:rsid w:val="00F64E91"/>
    <w:rsid w:val="00F66DFE"/>
    <w:rsid w:val="00F711EB"/>
    <w:rsid w:val="00F7157B"/>
    <w:rsid w:val="00F71E87"/>
    <w:rsid w:val="00F73932"/>
    <w:rsid w:val="00F73A88"/>
    <w:rsid w:val="00F73EE1"/>
    <w:rsid w:val="00F740DB"/>
    <w:rsid w:val="00F8114A"/>
    <w:rsid w:val="00F826CE"/>
    <w:rsid w:val="00F8438C"/>
    <w:rsid w:val="00F84D85"/>
    <w:rsid w:val="00F9004D"/>
    <w:rsid w:val="00F91206"/>
    <w:rsid w:val="00F91D5E"/>
    <w:rsid w:val="00F93347"/>
    <w:rsid w:val="00F96490"/>
    <w:rsid w:val="00F97B3A"/>
    <w:rsid w:val="00FA02AF"/>
    <w:rsid w:val="00FA0C0E"/>
    <w:rsid w:val="00FA3249"/>
    <w:rsid w:val="00FA3BED"/>
    <w:rsid w:val="00FA5D1B"/>
    <w:rsid w:val="00FA7589"/>
    <w:rsid w:val="00FA7AC9"/>
    <w:rsid w:val="00FB0260"/>
    <w:rsid w:val="00FB444C"/>
    <w:rsid w:val="00FB7593"/>
    <w:rsid w:val="00FB7AC0"/>
    <w:rsid w:val="00FB7C6F"/>
    <w:rsid w:val="00FC0626"/>
    <w:rsid w:val="00FC49CB"/>
    <w:rsid w:val="00FC5196"/>
    <w:rsid w:val="00FD240D"/>
    <w:rsid w:val="00FD3485"/>
    <w:rsid w:val="00FD5CF6"/>
    <w:rsid w:val="00FD6816"/>
    <w:rsid w:val="00FE0029"/>
    <w:rsid w:val="00FE0DAD"/>
    <w:rsid w:val="00FE1F62"/>
    <w:rsid w:val="00FE3D2C"/>
    <w:rsid w:val="00FE4E7D"/>
    <w:rsid w:val="00FE5A3A"/>
    <w:rsid w:val="00FF0DEF"/>
    <w:rsid w:val="00FF112A"/>
    <w:rsid w:val="00FF239F"/>
    <w:rsid w:val="00FF36D1"/>
    <w:rsid w:val="00FF66D7"/>
    <w:rsid w:val="03B629A7"/>
    <w:rsid w:val="094E3682"/>
    <w:rsid w:val="1F262E75"/>
    <w:rsid w:val="21423675"/>
    <w:rsid w:val="47D8727F"/>
    <w:rsid w:val="57B97303"/>
    <w:rsid w:val="5919648E"/>
    <w:rsid w:val="628B5ABA"/>
    <w:rsid w:val="652C63CF"/>
    <w:rsid w:val="696F20FA"/>
    <w:rsid w:val="ABFBDC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5"/>
    <w:unhideWhenUsed/>
    <w:qFormat/>
    <w:lock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qFormat/>
    <w:locked/>
    <w:uiPriority w:val="0"/>
    <w:pPr>
      <w:keepNext/>
      <w:widowControl/>
      <w:spacing w:before="240" w:after="60"/>
      <w:jc w:val="left"/>
      <w:outlineLvl w:val="2"/>
    </w:pPr>
    <w:rPr>
      <w:rFonts w:ascii="Arial" w:hAnsi="Arial" w:cs="Arial"/>
      <w:b/>
      <w:bCs/>
      <w:kern w:val="0"/>
      <w:sz w:val="26"/>
      <w:szCs w:val="26"/>
      <w:lang w:val="en-CA" w:eastAsia="en-US"/>
    </w:rPr>
  </w:style>
  <w:style w:type="paragraph" w:styleId="4">
    <w:name w:val="heading 4"/>
    <w:basedOn w:val="1"/>
    <w:next w:val="1"/>
    <w:link w:val="22"/>
    <w:qFormat/>
    <w:locked/>
    <w:uiPriority w:val="0"/>
    <w:pPr>
      <w:keepNext/>
      <w:widowControl/>
      <w:jc w:val="left"/>
      <w:outlineLvl w:val="3"/>
    </w:pPr>
    <w:rPr>
      <w:rFonts w:ascii="Arial" w:hAnsi="Arial" w:cs="Arial"/>
      <w:kern w:val="0"/>
      <w:sz w:val="20"/>
      <w:szCs w:val="24"/>
      <w:lang w:val="en-CA" w:eastAsia="en-US"/>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4"/>
    <w:semiHidden/>
    <w:unhideWhenUsed/>
    <w:qFormat/>
    <w:uiPriority w:val="99"/>
    <w:rPr>
      <w:b/>
      <w:bCs/>
    </w:rPr>
  </w:style>
  <w:style w:type="paragraph" w:styleId="6">
    <w:name w:val="annotation text"/>
    <w:basedOn w:val="1"/>
    <w:link w:val="23"/>
    <w:semiHidden/>
    <w:unhideWhenUsed/>
    <w:qFormat/>
    <w:uiPriority w:val="99"/>
    <w:pPr>
      <w:jc w:val="left"/>
    </w:pPr>
  </w:style>
  <w:style w:type="paragraph" w:styleId="7">
    <w:name w:val="Document Map"/>
    <w:basedOn w:val="1"/>
    <w:link w:val="28"/>
    <w:semiHidden/>
    <w:unhideWhenUsed/>
    <w:qFormat/>
    <w:uiPriority w:val="99"/>
    <w:rPr>
      <w:rFonts w:ascii="宋体"/>
      <w:sz w:val="18"/>
      <w:szCs w:val="18"/>
    </w:rPr>
  </w:style>
  <w:style w:type="paragraph" w:styleId="8">
    <w:name w:val="Date"/>
    <w:basedOn w:val="1"/>
    <w:next w:val="1"/>
    <w:link w:val="26"/>
    <w:semiHidden/>
    <w:unhideWhenUsed/>
    <w:qFormat/>
    <w:uiPriority w:val="99"/>
    <w:pPr>
      <w:ind w:left="100" w:leftChars="2500"/>
    </w:pPr>
  </w:style>
  <w:style w:type="paragraph" w:styleId="9">
    <w:name w:val="Balloon Text"/>
    <w:basedOn w:val="1"/>
    <w:link w:val="20"/>
    <w:semiHidden/>
    <w:unhideWhenUsed/>
    <w:qFormat/>
    <w:uiPriority w:val="99"/>
    <w:rPr>
      <w:sz w:val="18"/>
      <w:szCs w:val="18"/>
    </w:rPr>
  </w:style>
  <w:style w:type="paragraph" w:styleId="10">
    <w:name w:val="footer"/>
    <w:basedOn w:val="1"/>
    <w:link w:val="19"/>
    <w:qFormat/>
    <w:uiPriority w:val="99"/>
    <w:pPr>
      <w:tabs>
        <w:tab w:val="center" w:pos="4153"/>
        <w:tab w:val="right" w:pos="8306"/>
      </w:tabs>
      <w:snapToGrid w:val="0"/>
      <w:jc w:val="left"/>
    </w:pPr>
    <w:rPr>
      <w:sz w:val="18"/>
      <w:szCs w:val="18"/>
    </w:rPr>
  </w:style>
  <w:style w:type="paragraph" w:styleId="11">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13">
    <w:name w:val="Emphasis"/>
    <w:basedOn w:val="12"/>
    <w:qFormat/>
    <w:locked/>
    <w:uiPriority w:val="20"/>
    <w:rPr>
      <w:i/>
      <w:iCs/>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7">
    <w:name w:val="List Paragraph"/>
    <w:basedOn w:val="1"/>
    <w:qFormat/>
    <w:uiPriority w:val="34"/>
    <w:pPr>
      <w:ind w:firstLine="420" w:firstLineChars="200"/>
    </w:pPr>
  </w:style>
  <w:style w:type="character" w:customStyle="1" w:styleId="18">
    <w:name w:val="页眉 Char"/>
    <w:basedOn w:val="12"/>
    <w:link w:val="11"/>
    <w:qFormat/>
    <w:locked/>
    <w:uiPriority w:val="99"/>
    <w:rPr>
      <w:rFonts w:cs="Times New Roman"/>
      <w:sz w:val="18"/>
      <w:szCs w:val="18"/>
    </w:rPr>
  </w:style>
  <w:style w:type="character" w:customStyle="1" w:styleId="19">
    <w:name w:val="页脚 Char"/>
    <w:basedOn w:val="12"/>
    <w:link w:val="10"/>
    <w:qFormat/>
    <w:locked/>
    <w:uiPriority w:val="99"/>
    <w:rPr>
      <w:rFonts w:cs="Times New Roman"/>
      <w:sz w:val="18"/>
      <w:szCs w:val="18"/>
    </w:rPr>
  </w:style>
  <w:style w:type="character" w:customStyle="1" w:styleId="20">
    <w:name w:val="批注框文本 Char"/>
    <w:basedOn w:val="12"/>
    <w:link w:val="9"/>
    <w:semiHidden/>
    <w:qFormat/>
    <w:uiPriority w:val="99"/>
    <w:rPr>
      <w:sz w:val="18"/>
      <w:szCs w:val="18"/>
    </w:rPr>
  </w:style>
  <w:style w:type="character" w:customStyle="1" w:styleId="21">
    <w:name w:val="标题 3 Char"/>
    <w:basedOn w:val="12"/>
    <w:link w:val="3"/>
    <w:qFormat/>
    <w:uiPriority w:val="0"/>
    <w:rPr>
      <w:rFonts w:ascii="Arial" w:hAnsi="Arial" w:cs="Arial"/>
      <w:b/>
      <w:bCs/>
      <w:kern w:val="0"/>
      <w:sz w:val="26"/>
      <w:szCs w:val="26"/>
      <w:lang w:val="en-CA" w:eastAsia="en-US"/>
    </w:rPr>
  </w:style>
  <w:style w:type="character" w:customStyle="1" w:styleId="22">
    <w:name w:val="标题 4 Char"/>
    <w:basedOn w:val="12"/>
    <w:link w:val="4"/>
    <w:qFormat/>
    <w:uiPriority w:val="0"/>
    <w:rPr>
      <w:rFonts w:ascii="Arial" w:hAnsi="Arial" w:cs="Arial"/>
      <w:kern w:val="0"/>
      <w:sz w:val="20"/>
      <w:szCs w:val="24"/>
      <w:lang w:val="en-CA" w:eastAsia="en-US"/>
    </w:rPr>
  </w:style>
  <w:style w:type="character" w:customStyle="1" w:styleId="23">
    <w:name w:val="批注文字 Char"/>
    <w:basedOn w:val="12"/>
    <w:link w:val="6"/>
    <w:semiHidden/>
    <w:qFormat/>
    <w:uiPriority w:val="99"/>
    <w:rPr>
      <w:kern w:val="2"/>
      <w:sz w:val="21"/>
      <w:szCs w:val="22"/>
    </w:rPr>
  </w:style>
  <w:style w:type="character" w:customStyle="1" w:styleId="24">
    <w:name w:val="批注主题 Char"/>
    <w:basedOn w:val="23"/>
    <w:link w:val="5"/>
    <w:semiHidden/>
    <w:qFormat/>
    <w:uiPriority w:val="99"/>
    <w:rPr>
      <w:b/>
      <w:bCs/>
      <w:kern w:val="2"/>
      <w:sz w:val="21"/>
      <w:szCs w:val="22"/>
    </w:rPr>
  </w:style>
  <w:style w:type="character" w:customStyle="1" w:styleId="25">
    <w:name w:val="标题 2 Char"/>
    <w:basedOn w:val="12"/>
    <w:link w:val="2"/>
    <w:qFormat/>
    <w:uiPriority w:val="9"/>
    <w:rPr>
      <w:rFonts w:asciiTheme="majorHAnsi" w:hAnsiTheme="majorHAnsi" w:eastAsiaTheme="majorEastAsia" w:cstheme="majorBidi"/>
      <w:b/>
      <w:bCs/>
      <w:kern w:val="2"/>
      <w:sz w:val="32"/>
      <w:szCs w:val="32"/>
    </w:rPr>
  </w:style>
  <w:style w:type="character" w:customStyle="1" w:styleId="26">
    <w:name w:val="日期 Char"/>
    <w:basedOn w:val="12"/>
    <w:link w:val="8"/>
    <w:semiHidden/>
    <w:qFormat/>
    <w:uiPriority w:val="99"/>
    <w:rPr>
      <w:kern w:val="2"/>
      <w:sz w:val="21"/>
      <w:szCs w:val="22"/>
    </w:rPr>
  </w:style>
  <w:style w:type="table" w:customStyle="1" w:styleId="27">
    <w:name w:val="网格型1"/>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8">
    <w:name w:val="文档结构图 Char"/>
    <w:basedOn w:val="12"/>
    <w:link w:val="7"/>
    <w:semiHidden/>
    <w:qFormat/>
    <w:uiPriority w:val="99"/>
    <w:rPr>
      <w:rFonts w:ascii="宋体"/>
      <w:kern w:val="2"/>
      <w:sz w:val="18"/>
      <w:szCs w:val="18"/>
    </w:rPr>
  </w:style>
  <w:style w:type="character" w:customStyle="1" w:styleId="29">
    <w:name w:val="c-color-gray2"/>
    <w:basedOn w:val="12"/>
    <w:qFormat/>
    <w:uiPriority w:val="0"/>
  </w:style>
  <w:style w:type="character" w:customStyle="1" w:styleId="30">
    <w:name w:val="content-right_8zs40"/>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8</Pages>
  <Words>680</Words>
  <Characters>3879</Characters>
  <Lines>32</Lines>
  <Paragraphs>9</Paragraphs>
  <TotalTime>34</TotalTime>
  <ScaleCrop>false</ScaleCrop>
  <LinksUpToDate>false</LinksUpToDate>
  <CharactersWithSpaces>4550</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2023-07-28T14:51:00Z</dcterms:created>
  <dc:creator>Microsoft</dc:creator>
  <cp:lastModifiedBy>hj0niuj</cp:lastModifiedBy>
  <cp:lastPrinted>2023-06-13T09:17:00Z</cp:lastPrinted>
  <dcterms:modified xsi:type="dcterms:W3CDTF">2023-08-02T14:58:14Z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C78601C3E3F64185A634D1CE66710157_13</vt:lpwstr>
  </property>
</Properties>
</file>