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after="120" w:afterLines="50" w:line="300" w:lineRule="auto"/>
        <w:jc w:val="lef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9</w:t>
      </w:r>
      <w:bookmarkStart w:id="1" w:name="_GoBack"/>
      <w:bookmarkEnd w:id="1"/>
    </w:p>
    <w:p>
      <w:pPr>
        <w:snapToGrid w:val="0"/>
        <w:spacing w:before="120" w:beforeLines="50" w:after="120" w:afterLines="50" w:line="30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体外皮肤变态反应</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人细胞系活化试验</w:t>
      </w:r>
    </w:p>
    <w:p>
      <w:pPr>
        <w:snapToGrid w:val="0"/>
        <w:spacing w:before="120" w:beforeLines="50" w:after="120" w:afterLines="50" w:line="300" w:lineRule="auto"/>
        <w:jc w:val="center"/>
        <w:rPr>
          <w:rFonts w:ascii="Times New Roman" w:hAnsi="Times New Roman" w:eastAsia="宋体" w:cs="Times New Roman"/>
          <w:szCs w:val="21"/>
        </w:rPr>
      </w:pPr>
      <w:r>
        <w:rPr>
          <w:rFonts w:ascii="Times New Roman" w:hAnsi="Times New Roman" w:eastAsia="宋体" w:cs="Times New Roman"/>
          <w:i/>
          <w:iCs/>
          <w:szCs w:val="21"/>
        </w:rPr>
        <w:t>In Vitro</w:t>
      </w:r>
      <w:r>
        <w:rPr>
          <w:rFonts w:ascii="Times New Roman" w:hAnsi="Times New Roman" w:eastAsia="宋体" w:cs="Times New Roman"/>
          <w:szCs w:val="21"/>
        </w:rPr>
        <w:t xml:space="preserve"> Skin Sensitisation：Human Cell Line Activation Test（h-CLAT）</w:t>
      </w:r>
    </w:p>
    <w:p>
      <w:pPr>
        <w:pStyle w:val="19"/>
        <w:snapToGrid w:val="0"/>
        <w:spacing w:before="120" w:beforeLines="50" w:after="120" w:afterLines="50" w:line="300" w:lineRule="auto"/>
        <w:ind w:firstLine="0" w:firstLineChars="0"/>
        <w:rPr>
          <w:rFonts w:ascii="Times New Roman" w:eastAsia="黑体"/>
          <w:bCs/>
          <w:szCs w:val="21"/>
        </w:rPr>
      </w:pPr>
      <w:r>
        <w:rPr>
          <w:rFonts w:ascii="Times New Roman" w:eastAsia="黑体"/>
          <w:bCs/>
          <w:szCs w:val="21"/>
        </w:rPr>
        <w:t>1  范围</w:t>
      </w:r>
    </w:p>
    <w:p>
      <w:pPr>
        <w:pStyle w:val="19"/>
        <w:snapToGrid w:val="0"/>
        <w:spacing w:before="120" w:beforeLines="50" w:after="120" w:afterLines="50" w:line="300" w:lineRule="auto"/>
        <w:ind w:firstLine="420"/>
        <w:rPr>
          <w:rFonts w:ascii="Times New Roman"/>
          <w:szCs w:val="21"/>
        </w:rPr>
      </w:pPr>
      <w:r>
        <w:rPr>
          <w:rFonts w:ascii="Times New Roman"/>
          <w:szCs w:val="21"/>
        </w:rPr>
        <w:t>本方法规定了体外皮肤变态反应：人细胞系活化试验的基本原则、要求和方法。</w:t>
      </w:r>
    </w:p>
    <w:p>
      <w:pPr>
        <w:pStyle w:val="19"/>
        <w:snapToGrid w:val="0"/>
        <w:spacing w:before="120" w:beforeLines="50" w:after="120" w:afterLines="50" w:line="300" w:lineRule="auto"/>
        <w:ind w:firstLine="420"/>
        <w:rPr>
          <w:rFonts w:ascii="Times New Roman"/>
          <w:szCs w:val="21"/>
        </w:rPr>
      </w:pPr>
      <w:r>
        <w:rPr>
          <w:rFonts w:ascii="Times New Roman"/>
          <w:szCs w:val="21"/>
        </w:rPr>
        <w:t>本方法适用于可溶或者能形成稳定分散体系的化妆品用化学原料安全性毒理学检测。</w:t>
      </w:r>
    </w:p>
    <w:p>
      <w:pPr>
        <w:pStyle w:val="19"/>
        <w:snapToGrid w:val="0"/>
        <w:spacing w:before="120" w:beforeLines="50" w:after="120" w:afterLines="50" w:line="300" w:lineRule="auto"/>
        <w:ind w:firstLine="0" w:firstLineChars="0"/>
        <w:rPr>
          <w:rFonts w:ascii="Times New Roman" w:eastAsia="黑体"/>
          <w:bCs/>
          <w:szCs w:val="21"/>
        </w:rPr>
      </w:pPr>
      <w:r>
        <w:rPr>
          <w:rFonts w:ascii="Times New Roman" w:eastAsia="黑体"/>
          <w:bCs/>
          <w:szCs w:val="21"/>
        </w:rPr>
        <w:t>2  试验目的</w:t>
      </w:r>
    </w:p>
    <w:p>
      <w:pPr>
        <w:pStyle w:val="19"/>
        <w:snapToGrid w:val="0"/>
        <w:spacing w:before="120" w:beforeLines="50" w:after="120" w:afterLines="50" w:line="300" w:lineRule="auto"/>
        <w:ind w:firstLine="420"/>
        <w:rPr>
          <w:rFonts w:ascii="Times New Roman"/>
          <w:szCs w:val="21"/>
        </w:rPr>
      </w:pPr>
      <w:r>
        <w:rPr>
          <w:rFonts w:ascii="Times New Roman"/>
          <w:szCs w:val="21"/>
        </w:rPr>
        <w:t>预测和评价化妆品用化学原料是否具有潜在皮肤致敏性。</w:t>
      </w:r>
    </w:p>
    <w:p>
      <w:pPr>
        <w:pStyle w:val="19"/>
        <w:snapToGrid w:val="0"/>
        <w:spacing w:before="120" w:beforeLines="50" w:after="120" w:afterLines="50" w:line="300" w:lineRule="auto"/>
        <w:ind w:firstLine="0" w:firstLineChars="0"/>
        <w:rPr>
          <w:rFonts w:ascii="Times New Roman" w:eastAsia="黑体"/>
          <w:bCs/>
          <w:szCs w:val="21"/>
        </w:rPr>
      </w:pPr>
      <w:r>
        <w:rPr>
          <w:rFonts w:ascii="Times New Roman" w:eastAsia="黑体"/>
          <w:bCs/>
          <w:szCs w:val="21"/>
        </w:rPr>
        <w:t>3  定义</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3.1  细胞75%存活率浓度值  75% cell viability</w:t>
      </w:r>
    </w:p>
    <w:p>
      <w:pPr>
        <w:pStyle w:val="19"/>
        <w:snapToGrid w:val="0"/>
        <w:spacing w:before="120" w:beforeLines="50" w:after="120" w:afterLines="50" w:line="300" w:lineRule="auto"/>
        <w:ind w:firstLine="420"/>
        <w:rPr>
          <w:rFonts w:ascii="Times New Roman"/>
          <w:szCs w:val="21"/>
        </w:rPr>
      </w:pPr>
      <w:r>
        <w:rPr>
          <w:rFonts w:ascii="Times New Roman"/>
          <w:szCs w:val="21"/>
        </w:rPr>
        <w:t>用受试物染毒后，细胞存活率为75%时对应的受试物浓度值。</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3.2  荧光强度均值  Mean Fluorescence Intensity</w:t>
      </w:r>
    </w:p>
    <w:p>
      <w:pPr>
        <w:pStyle w:val="19"/>
        <w:snapToGrid w:val="0"/>
        <w:spacing w:before="120" w:beforeLines="50" w:after="120" w:afterLines="50" w:line="300" w:lineRule="auto"/>
        <w:ind w:firstLine="420"/>
        <w:rPr>
          <w:rFonts w:ascii="Times New Roman"/>
          <w:szCs w:val="21"/>
        </w:rPr>
      </w:pPr>
      <w:r>
        <w:rPr>
          <w:rFonts w:ascii="Times New Roman"/>
          <w:szCs w:val="21"/>
        </w:rPr>
        <w:t>用流式细胞仪测定的荧光强度几何平均数。</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3.3  相对荧光强度值  Relative Fluorescence Intensity</w:t>
      </w:r>
    </w:p>
    <w:p>
      <w:pPr>
        <w:pStyle w:val="19"/>
        <w:snapToGrid w:val="0"/>
        <w:spacing w:before="120" w:beforeLines="50" w:after="120" w:afterLines="50" w:line="300" w:lineRule="auto"/>
        <w:ind w:firstLine="420"/>
        <w:rPr>
          <w:rFonts w:ascii="Times New Roman"/>
          <w:szCs w:val="21"/>
        </w:rPr>
      </w:pPr>
      <w:r>
        <w:rPr>
          <w:rFonts w:ascii="Times New Roman"/>
          <w:szCs w:val="21"/>
        </w:rPr>
        <w:t>扣除同型对照后，100倍的受试物MFI和溶剂对照MFI的比值。</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3.4  CD86有效作用浓度值  Effective Concentration 150</w:t>
      </w:r>
    </w:p>
    <w:p>
      <w:pPr>
        <w:pStyle w:val="19"/>
        <w:snapToGrid w:val="0"/>
        <w:spacing w:before="120" w:beforeLines="50" w:after="120" w:afterLines="50" w:line="300" w:lineRule="auto"/>
        <w:ind w:firstLine="420"/>
        <w:rPr>
          <w:rFonts w:ascii="Times New Roman"/>
          <w:szCs w:val="21"/>
        </w:rPr>
      </w:pPr>
      <w:r>
        <w:rPr>
          <w:rFonts w:ascii="Times New Roman"/>
          <w:szCs w:val="21"/>
        </w:rPr>
        <w:t>CD86的相对荧光强度值达到150时对应的受试物浓度值。</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3.5  CD54有效作用浓度值  Effective Concentration 200</w:t>
      </w:r>
    </w:p>
    <w:p>
      <w:pPr>
        <w:pStyle w:val="19"/>
        <w:snapToGrid w:val="0"/>
        <w:spacing w:before="120" w:beforeLines="50" w:after="120" w:afterLines="50" w:line="300" w:lineRule="auto"/>
        <w:ind w:firstLine="420"/>
        <w:rPr>
          <w:rFonts w:ascii="Times New Roman"/>
          <w:szCs w:val="21"/>
        </w:rPr>
      </w:pPr>
      <w:r>
        <w:rPr>
          <w:rFonts w:ascii="Times New Roman"/>
          <w:szCs w:val="21"/>
        </w:rPr>
        <w:t>CD54的相对荧光强度值达到200时对应的受试物浓度值。</w:t>
      </w:r>
    </w:p>
    <w:p>
      <w:pPr>
        <w:pStyle w:val="19"/>
        <w:snapToGrid w:val="0"/>
        <w:spacing w:before="120" w:beforeLines="50" w:after="120" w:afterLines="50" w:line="300" w:lineRule="auto"/>
        <w:ind w:firstLine="0" w:firstLineChars="0"/>
        <w:rPr>
          <w:rFonts w:ascii="Times New Roman" w:eastAsia="黑体"/>
          <w:bCs/>
          <w:szCs w:val="21"/>
        </w:rPr>
      </w:pPr>
      <w:r>
        <w:rPr>
          <w:rFonts w:ascii="Times New Roman" w:eastAsia="黑体"/>
          <w:bCs/>
          <w:szCs w:val="21"/>
        </w:rPr>
        <w:t>4  试验原理</w:t>
      </w:r>
    </w:p>
    <w:p>
      <w:pPr>
        <w:pStyle w:val="19"/>
        <w:snapToGrid w:val="0"/>
        <w:spacing w:before="120" w:beforeLines="50" w:after="120" w:afterLines="50" w:line="300" w:lineRule="auto"/>
        <w:ind w:firstLine="420"/>
        <w:rPr>
          <w:rFonts w:ascii="Times New Roman"/>
          <w:szCs w:val="21"/>
        </w:rPr>
      </w:pPr>
      <w:r>
        <w:rPr>
          <w:rFonts w:ascii="Times New Roman"/>
          <w:szCs w:val="21"/>
        </w:rPr>
        <w:t>当致敏物接触皮肤后，树突状细胞在移动到淋巴器官的过程中分化成熟，并上调一系列表面分子的表达。体外培养类树突状细胞人急性单核白血病细胞，并和受试物共暴露24h后，使用荧光抗体染料对细胞表面分子CD86、CD54染色并用流式细胞仪测定，从而判定待测物是否具有致敏性。</w:t>
      </w:r>
    </w:p>
    <w:p>
      <w:pPr>
        <w:pStyle w:val="19"/>
        <w:snapToGrid w:val="0"/>
        <w:spacing w:before="120" w:beforeLines="50" w:after="120" w:afterLines="50" w:line="300" w:lineRule="auto"/>
        <w:ind w:firstLine="0" w:firstLineChars="0"/>
        <w:rPr>
          <w:rFonts w:ascii="Times New Roman" w:eastAsia="黑体"/>
          <w:bCs/>
          <w:szCs w:val="21"/>
        </w:rPr>
      </w:pPr>
      <w:r>
        <w:rPr>
          <w:rFonts w:ascii="Times New Roman" w:eastAsia="黑体"/>
          <w:bCs/>
          <w:szCs w:val="21"/>
        </w:rPr>
        <w:t>5  试验方法</w:t>
      </w:r>
    </w:p>
    <w:p>
      <w:pPr>
        <w:pStyle w:val="19"/>
        <w:snapToGrid w:val="0"/>
        <w:spacing w:before="120" w:beforeLines="50" w:after="120" w:afterLines="50" w:line="300" w:lineRule="auto"/>
        <w:ind w:firstLine="0" w:firstLineChars="0"/>
        <w:rPr>
          <w:rFonts w:ascii="Times New Roman" w:eastAsia="黑体"/>
          <w:bCs/>
          <w:szCs w:val="21"/>
        </w:rPr>
      </w:pPr>
      <w:r>
        <w:rPr>
          <w:rFonts w:ascii="Times New Roman" w:eastAsia="黑体"/>
          <w:bCs/>
          <w:szCs w:val="21"/>
        </w:rPr>
        <w:t>5.1</w:t>
      </w:r>
      <w:r>
        <w:rPr>
          <w:rFonts w:hint="eastAsia" w:ascii="Times New Roman" w:eastAsia="黑体"/>
          <w:bCs/>
          <w:szCs w:val="21"/>
        </w:rPr>
        <w:t xml:space="preserve"> </w:t>
      </w:r>
      <w:r>
        <w:rPr>
          <w:rFonts w:ascii="Times New Roman" w:eastAsia="黑体"/>
          <w:bCs/>
          <w:szCs w:val="21"/>
        </w:rPr>
        <w:t xml:space="preserve"> 试验材料与试剂 </w:t>
      </w:r>
    </w:p>
    <w:p>
      <w:pPr>
        <w:pStyle w:val="19"/>
        <w:snapToGrid w:val="0"/>
        <w:spacing w:before="120" w:beforeLines="50" w:after="120" w:afterLines="50" w:line="300" w:lineRule="auto"/>
        <w:ind w:firstLine="0" w:firstLineChars="0"/>
        <w:rPr>
          <w:rFonts w:ascii="Times New Roman" w:eastAsia="黑体"/>
          <w:b/>
          <w:szCs w:val="21"/>
        </w:rPr>
      </w:pPr>
      <w:r>
        <w:rPr>
          <w:rFonts w:ascii="Times New Roman"/>
          <w:szCs w:val="21"/>
        </w:rPr>
        <w:t xml:space="preserve">5.1.1 </w:t>
      </w:r>
      <w:r>
        <w:rPr>
          <w:rFonts w:hint="eastAsia" w:ascii="Times New Roman"/>
          <w:szCs w:val="21"/>
        </w:rPr>
        <w:t xml:space="preserve"> </w:t>
      </w:r>
      <w:r>
        <w:rPr>
          <w:rFonts w:ascii="Times New Roman"/>
          <w:szCs w:val="21"/>
        </w:rPr>
        <w:t>细胞</w:t>
      </w:r>
    </w:p>
    <w:p>
      <w:pPr>
        <w:pStyle w:val="19"/>
        <w:snapToGrid w:val="0"/>
        <w:spacing w:before="120" w:beforeLines="50" w:after="120" w:afterLines="50" w:line="300" w:lineRule="auto"/>
        <w:ind w:firstLine="420"/>
        <w:rPr>
          <w:rFonts w:ascii="Times New Roman"/>
          <w:szCs w:val="21"/>
        </w:rPr>
      </w:pPr>
      <w:r>
        <w:rPr>
          <w:rFonts w:ascii="Times New Roman"/>
          <w:szCs w:val="21"/>
        </w:rPr>
        <w:t>选用人急性单核白血病细胞（The human monocytic leukaemia cell line，THP-1）。要求：来源清晰，代数明确</w:t>
      </w:r>
      <w:r>
        <w:rPr>
          <w:rFonts w:ascii="Times New Roman"/>
          <w:color w:val="000000" w:themeColor="text1"/>
          <w:szCs w:val="21"/>
          <w14:textFill>
            <w14:solidFill>
              <w14:schemeClr w14:val="tx1"/>
            </w14:solidFill>
          </w14:textFill>
        </w:rPr>
        <w:t>（&lt;</w:t>
      </w:r>
      <w:r>
        <w:rPr>
          <w:rFonts w:hint="eastAsia" w:ascii="Times New Roman"/>
          <w:color w:val="000000" w:themeColor="text1"/>
          <w:szCs w:val="21"/>
          <w14:textFill>
            <w14:solidFill>
              <w14:schemeClr w14:val="tx1"/>
            </w14:solidFill>
          </w14:textFill>
        </w:rPr>
        <w:t xml:space="preserve"> </w:t>
      </w:r>
      <w:r>
        <w:rPr>
          <w:rFonts w:ascii="Times New Roman"/>
          <w:color w:val="000000" w:themeColor="text1"/>
          <w:szCs w:val="21"/>
          <w14:textFill>
            <w14:solidFill>
              <w14:schemeClr w14:val="tx1"/>
            </w14:solidFill>
          </w14:textFill>
        </w:rPr>
        <w:t>30代）</w:t>
      </w:r>
      <w:r>
        <w:rPr>
          <w:rFonts w:ascii="Times New Roman"/>
          <w:szCs w:val="21"/>
        </w:rPr>
        <w:t>。细胞使用前应进行稳定性检测，通过稳定性检测后可用于本试验。</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5.1.2</w:t>
      </w:r>
      <w:r>
        <w:rPr>
          <w:rFonts w:hint="eastAsia" w:ascii="Times New Roman"/>
          <w:szCs w:val="21"/>
        </w:rPr>
        <w:t xml:space="preserve"> </w:t>
      </w:r>
      <w:r>
        <w:rPr>
          <w:rFonts w:ascii="Times New Roman"/>
          <w:szCs w:val="21"/>
        </w:rPr>
        <w:t xml:space="preserve"> 培养基 </w:t>
      </w:r>
    </w:p>
    <w:p>
      <w:pPr>
        <w:pStyle w:val="19"/>
        <w:snapToGrid w:val="0"/>
        <w:spacing w:before="120" w:beforeLines="50" w:after="120" w:afterLines="50" w:line="300" w:lineRule="auto"/>
        <w:ind w:firstLine="420"/>
        <w:rPr>
          <w:rFonts w:ascii="Times New Roman"/>
          <w:szCs w:val="21"/>
        </w:rPr>
      </w:pPr>
      <w:r>
        <w:rPr>
          <w:rFonts w:ascii="Times New Roman"/>
          <w:szCs w:val="21"/>
        </w:rPr>
        <w:t>1640基础培养液中加入0.05 mM的β-巯基乙醇、10%胎牛血清、100 units/mL青霉素和100 μg/mL链霉素，配制成1640完全培养基。</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5.1.3 </w:t>
      </w:r>
      <w:r>
        <w:rPr>
          <w:rFonts w:hint="eastAsia" w:ascii="Times New Roman"/>
          <w:szCs w:val="21"/>
        </w:rPr>
        <w:t xml:space="preserve"> </w:t>
      </w:r>
      <w:r>
        <w:rPr>
          <w:rFonts w:ascii="Times New Roman"/>
          <w:szCs w:val="21"/>
        </w:rPr>
        <w:t>磷酸盐缓冲液（PBS）</w:t>
      </w:r>
    </w:p>
    <w:p>
      <w:pPr>
        <w:pStyle w:val="19"/>
        <w:snapToGrid w:val="0"/>
        <w:spacing w:before="120" w:beforeLines="50" w:after="120" w:afterLines="50" w:line="300" w:lineRule="auto"/>
        <w:ind w:firstLine="420"/>
        <w:rPr>
          <w:rFonts w:ascii="Times New Roman"/>
          <w:szCs w:val="21"/>
        </w:rPr>
      </w:pPr>
      <w:r>
        <w:rPr>
          <w:rFonts w:ascii="Times New Roman"/>
          <w:szCs w:val="21"/>
        </w:rPr>
        <w:t>氯化钠9.00</w:t>
      </w:r>
      <w:r>
        <w:rPr>
          <w:rFonts w:hint="eastAsia" w:ascii="Times New Roman"/>
          <w:szCs w:val="21"/>
        </w:rPr>
        <w:t xml:space="preserve"> </w:t>
      </w:r>
      <w:r>
        <w:rPr>
          <w:rFonts w:ascii="Times New Roman"/>
          <w:szCs w:val="21"/>
        </w:rPr>
        <w:t>g、七水磷酸氢二钠0.73</w:t>
      </w:r>
      <w:r>
        <w:rPr>
          <w:rFonts w:hint="eastAsia" w:ascii="Times New Roman"/>
          <w:szCs w:val="21"/>
        </w:rPr>
        <w:t xml:space="preserve"> </w:t>
      </w:r>
      <w:r>
        <w:rPr>
          <w:rFonts w:ascii="Times New Roman"/>
          <w:szCs w:val="21"/>
        </w:rPr>
        <w:t>g、无水磷酸二氢钾0.21</w:t>
      </w:r>
      <w:r>
        <w:rPr>
          <w:rFonts w:hint="eastAsia" w:ascii="Times New Roman"/>
          <w:szCs w:val="21"/>
        </w:rPr>
        <w:t xml:space="preserve"> </w:t>
      </w:r>
      <w:r>
        <w:rPr>
          <w:rFonts w:ascii="Times New Roman"/>
          <w:szCs w:val="21"/>
        </w:rPr>
        <w:t>g，去离子水定容至1000</w:t>
      </w:r>
      <w:r>
        <w:rPr>
          <w:rFonts w:hint="eastAsia" w:ascii="Times New Roman"/>
          <w:szCs w:val="21"/>
        </w:rPr>
        <w:t xml:space="preserve"> </w:t>
      </w:r>
      <w:r>
        <w:rPr>
          <w:rFonts w:ascii="Times New Roman"/>
          <w:szCs w:val="21"/>
        </w:rPr>
        <w:t>mL，调pH=7.2~7.4，高压灭菌。</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5.1.4 </w:t>
      </w:r>
      <w:r>
        <w:rPr>
          <w:rFonts w:hint="eastAsia" w:ascii="Times New Roman"/>
          <w:szCs w:val="21"/>
        </w:rPr>
        <w:t xml:space="preserve"> </w:t>
      </w:r>
      <w:r>
        <w:rPr>
          <w:rFonts w:ascii="Times New Roman"/>
          <w:szCs w:val="21"/>
        </w:rPr>
        <w:t>染色缓冲液</w:t>
      </w:r>
    </w:p>
    <w:p>
      <w:pPr>
        <w:pStyle w:val="19"/>
        <w:snapToGrid w:val="0"/>
        <w:spacing w:before="120" w:beforeLines="50" w:after="120" w:afterLines="50" w:line="300" w:lineRule="auto"/>
        <w:ind w:firstLine="420"/>
        <w:rPr>
          <w:rFonts w:ascii="Times New Roman"/>
          <w:szCs w:val="21"/>
        </w:rPr>
      </w:pPr>
      <w:r>
        <w:rPr>
          <w:rFonts w:ascii="Times New Roman"/>
          <w:szCs w:val="21"/>
        </w:rPr>
        <w:t>PBS溶液中加入0.1%（m/v）的牛血清白蛋白。</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5.1.5 </w:t>
      </w:r>
      <w:r>
        <w:rPr>
          <w:rFonts w:hint="eastAsia" w:ascii="Times New Roman"/>
          <w:szCs w:val="21"/>
        </w:rPr>
        <w:t xml:space="preserve"> </w:t>
      </w:r>
      <w:r>
        <w:rPr>
          <w:rFonts w:ascii="Times New Roman"/>
          <w:szCs w:val="21"/>
        </w:rPr>
        <w:t>染料和抗体类物质</w:t>
      </w:r>
    </w:p>
    <w:p>
      <w:pPr>
        <w:pStyle w:val="19"/>
        <w:snapToGrid w:val="0"/>
        <w:spacing w:before="120" w:beforeLines="50" w:after="120" w:afterLines="50" w:line="300" w:lineRule="auto"/>
        <w:ind w:firstLine="420"/>
        <w:rPr>
          <w:rFonts w:ascii="Times New Roman"/>
          <w:szCs w:val="21"/>
        </w:rPr>
      </w:pPr>
      <w:r>
        <w:rPr>
          <w:rFonts w:ascii="Times New Roman"/>
          <w:szCs w:val="21"/>
        </w:rPr>
        <w:t>7-氨基放线素菌-D染料（7-AAD）</w:t>
      </w:r>
    </w:p>
    <w:p>
      <w:pPr>
        <w:pStyle w:val="19"/>
        <w:snapToGrid w:val="0"/>
        <w:spacing w:before="120" w:beforeLines="50" w:after="120" w:afterLines="50" w:line="300" w:lineRule="auto"/>
        <w:ind w:firstLine="420"/>
        <w:rPr>
          <w:rFonts w:ascii="Times New Roman"/>
          <w:szCs w:val="21"/>
        </w:rPr>
      </w:pPr>
      <w:r>
        <w:rPr>
          <w:rFonts w:ascii="Times New Roman"/>
          <w:szCs w:val="21"/>
        </w:rPr>
        <w:t>FITC标记的小鼠单克隆CD86抗体（FITC-CD86）</w:t>
      </w:r>
    </w:p>
    <w:p>
      <w:pPr>
        <w:pStyle w:val="19"/>
        <w:snapToGrid w:val="0"/>
        <w:spacing w:before="120" w:beforeLines="50" w:after="120" w:afterLines="50" w:line="300" w:lineRule="auto"/>
        <w:ind w:firstLine="420"/>
        <w:rPr>
          <w:rFonts w:ascii="Times New Roman"/>
          <w:szCs w:val="21"/>
        </w:rPr>
      </w:pPr>
      <w:r>
        <w:rPr>
          <w:rFonts w:ascii="Times New Roman"/>
          <w:szCs w:val="21"/>
        </w:rPr>
        <w:t>PE标记的小鼠单克隆CD54抗体（PE-CD54）</w:t>
      </w:r>
    </w:p>
    <w:p>
      <w:pPr>
        <w:pStyle w:val="19"/>
        <w:snapToGrid w:val="0"/>
        <w:spacing w:before="120" w:beforeLines="50" w:after="120" w:afterLines="50" w:line="300" w:lineRule="auto"/>
        <w:ind w:firstLine="420"/>
        <w:rPr>
          <w:rFonts w:ascii="Times New Roman"/>
          <w:szCs w:val="21"/>
        </w:rPr>
      </w:pPr>
      <w:r>
        <w:rPr>
          <w:rFonts w:ascii="Times New Roman"/>
          <w:szCs w:val="21"/>
        </w:rPr>
        <w:t>FITC标记的小鼠IgG1 （FITC-IgG1）</w:t>
      </w:r>
    </w:p>
    <w:p>
      <w:pPr>
        <w:pStyle w:val="19"/>
        <w:snapToGrid w:val="0"/>
        <w:spacing w:before="120" w:beforeLines="50" w:after="120" w:afterLines="50" w:line="300" w:lineRule="auto"/>
        <w:ind w:firstLine="420"/>
        <w:rPr>
          <w:rFonts w:ascii="Times New Roman"/>
          <w:szCs w:val="21"/>
        </w:rPr>
      </w:pPr>
      <w:r>
        <w:rPr>
          <w:rFonts w:ascii="Times New Roman"/>
          <w:szCs w:val="21"/>
        </w:rPr>
        <w:t>PE标记的小鼠IgG1 （PE-IgG1）</w:t>
      </w:r>
    </w:p>
    <w:p>
      <w:pPr>
        <w:pStyle w:val="19"/>
        <w:snapToGrid w:val="0"/>
        <w:spacing w:before="120" w:beforeLines="50" w:after="120" w:afterLines="50" w:line="300" w:lineRule="auto"/>
        <w:ind w:firstLine="420"/>
        <w:rPr>
          <w:rFonts w:ascii="Times New Roman"/>
          <w:b/>
          <w:bCs/>
          <w:szCs w:val="21"/>
        </w:rPr>
      </w:pPr>
      <w:r>
        <w:rPr>
          <w:rFonts w:ascii="Times New Roman"/>
          <w:szCs w:val="21"/>
        </w:rPr>
        <w:t>Fc段受体阻断剂（Fc-Blocker）</w:t>
      </w:r>
      <w:r>
        <w:rPr>
          <w:rFonts w:ascii="Times New Roman"/>
          <w:b/>
          <w:bCs/>
          <w:szCs w:val="21"/>
        </w:rPr>
        <w:t xml:space="preserve"> </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5.1.6 </w:t>
      </w:r>
      <w:r>
        <w:rPr>
          <w:rFonts w:hint="eastAsia" w:ascii="Times New Roman"/>
          <w:szCs w:val="21"/>
        </w:rPr>
        <w:t xml:space="preserve"> </w:t>
      </w:r>
      <w:r>
        <w:rPr>
          <w:rFonts w:ascii="Times New Roman"/>
          <w:szCs w:val="21"/>
        </w:rPr>
        <w:t>受试物储备液</w:t>
      </w:r>
    </w:p>
    <w:p>
      <w:pPr>
        <w:pStyle w:val="19"/>
        <w:snapToGrid w:val="0"/>
        <w:spacing w:before="120" w:beforeLines="50" w:after="120" w:afterLines="50" w:line="300" w:lineRule="auto"/>
        <w:ind w:firstLine="420"/>
        <w:rPr>
          <w:rFonts w:ascii="Times New Roman"/>
          <w:szCs w:val="21"/>
        </w:rPr>
      </w:pPr>
      <w:r>
        <w:rPr>
          <w:rFonts w:ascii="Times New Roman"/>
          <w:szCs w:val="21"/>
        </w:rPr>
        <w:t>于实验前一天准备。用生理盐水或1640完全培养基配制100 mg/mL的受试物溶液，2倍倍比稀释，得到8个浓度点的储备液系列。不能溶解于上述溶剂的物质选用DMSO作为溶剂，配制浓度500 mg/mL受试物溶液，2倍倍比稀释配制得到8个浓度点的储备液系列。</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5.1.7 </w:t>
      </w:r>
      <w:r>
        <w:rPr>
          <w:rFonts w:hint="eastAsia" w:ascii="Times New Roman"/>
          <w:szCs w:val="21"/>
        </w:rPr>
        <w:t xml:space="preserve"> </w:t>
      </w:r>
      <w:r>
        <w:rPr>
          <w:rFonts w:ascii="Times New Roman"/>
          <w:szCs w:val="21"/>
        </w:rPr>
        <w:t>受试物工作液</w:t>
      </w:r>
    </w:p>
    <w:p>
      <w:pPr>
        <w:pStyle w:val="19"/>
        <w:snapToGrid w:val="0"/>
        <w:spacing w:before="120" w:beforeLines="50" w:after="120" w:afterLines="50" w:line="300" w:lineRule="auto"/>
        <w:ind w:firstLine="420"/>
        <w:rPr>
          <w:rFonts w:ascii="Times New Roman"/>
          <w:szCs w:val="21"/>
        </w:rPr>
      </w:pPr>
      <w:r>
        <w:rPr>
          <w:rFonts w:ascii="Times New Roman"/>
          <w:szCs w:val="21"/>
        </w:rPr>
        <w:t>实验当天，溶于1640完全培养基（或生理盐水）的受试物储备液系列依次用1640完全培养基稀释50倍得到工作液。溶于DMSO的受试物储备液系列依次用1640完全培养基或生理盐水稀释250倍得到工作液。将工作液等体积加入细胞悬液中进行染毒，所以最终细胞接触浓度是工作液浓度再稀释2倍。如果以上浓度无法测得受试物的细胞75%存活率浓度值（75% cell viability，CV75），可以进行浓度调整。但溶解于生理盐水或1640完全培养基的受试物最终细胞接触浓度最高不超过5</w:t>
      </w:r>
      <w:r>
        <w:rPr>
          <w:rFonts w:hint="eastAsia" w:ascii="Times New Roman"/>
          <w:szCs w:val="21"/>
        </w:rPr>
        <w:t xml:space="preserve"> </w:t>
      </w:r>
      <w:r>
        <w:rPr>
          <w:rFonts w:ascii="Times New Roman"/>
          <w:szCs w:val="21"/>
        </w:rPr>
        <w:t>mg/mL；溶解于DMSO的受试物最终细胞接触浓度最高不超过1</w:t>
      </w:r>
      <w:r>
        <w:rPr>
          <w:rFonts w:hint="eastAsia" w:ascii="Times New Roman"/>
          <w:szCs w:val="21"/>
        </w:rPr>
        <w:t xml:space="preserve"> </w:t>
      </w:r>
      <w:r>
        <w:rPr>
          <w:rFonts w:ascii="Times New Roman"/>
          <w:szCs w:val="21"/>
        </w:rPr>
        <w:t>mg/mL，DMSO最终接触浓度不得超过0.2%。</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5.1.8 </w:t>
      </w:r>
      <w:r>
        <w:rPr>
          <w:rFonts w:hint="eastAsia" w:ascii="Times New Roman"/>
          <w:szCs w:val="21"/>
        </w:rPr>
        <w:t xml:space="preserve"> </w:t>
      </w:r>
      <w:r>
        <w:rPr>
          <w:rFonts w:ascii="Times New Roman"/>
          <w:szCs w:val="21"/>
        </w:rPr>
        <w:t>溶剂选择</w:t>
      </w:r>
    </w:p>
    <w:p>
      <w:pPr>
        <w:pStyle w:val="19"/>
        <w:snapToGrid w:val="0"/>
        <w:spacing w:before="120" w:beforeLines="50" w:after="120" w:afterLines="50" w:line="300" w:lineRule="auto"/>
        <w:ind w:firstLine="420"/>
        <w:rPr>
          <w:rFonts w:ascii="Times New Roman"/>
          <w:szCs w:val="21"/>
        </w:rPr>
      </w:pPr>
      <w:r>
        <w:rPr>
          <w:rFonts w:ascii="Times New Roman"/>
          <w:szCs w:val="21"/>
        </w:rPr>
        <w:t>选用DMSO、1640完全培养基或者生理盐水作为溶剂。在证明溶剂不影响测试结果的情况下，可使用除生理盐水，培养基，DMSO以外的其他溶剂。</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5.1.9 </w:t>
      </w:r>
      <w:r>
        <w:rPr>
          <w:rFonts w:hint="eastAsia" w:ascii="Times New Roman"/>
          <w:szCs w:val="21"/>
        </w:rPr>
        <w:t xml:space="preserve"> </w:t>
      </w:r>
      <w:r>
        <w:rPr>
          <w:rFonts w:ascii="Times New Roman"/>
          <w:szCs w:val="21"/>
        </w:rPr>
        <w:t>阳性对照</w:t>
      </w:r>
    </w:p>
    <w:p>
      <w:pPr>
        <w:pStyle w:val="19"/>
        <w:snapToGrid w:val="0"/>
        <w:spacing w:before="120" w:beforeLines="50" w:after="120" w:afterLines="50" w:line="300" w:lineRule="auto"/>
        <w:ind w:firstLine="420"/>
        <w:rPr>
          <w:rFonts w:ascii="Times New Roman"/>
          <w:szCs w:val="21"/>
        </w:rPr>
      </w:pPr>
      <w:r>
        <w:rPr>
          <w:rFonts w:ascii="Times New Roman"/>
          <w:szCs w:val="21"/>
        </w:rPr>
        <w:t>选用2,4-二硝基氯苯（DNCB，CAS：97-00-7，≥99%）作为阳性对照。根据细胞75%存活率情况确定阳性对照浓度。</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5.1.10</w:t>
      </w:r>
      <w:r>
        <w:rPr>
          <w:rFonts w:hint="eastAsia" w:ascii="Times New Roman"/>
          <w:szCs w:val="21"/>
        </w:rPr>
        <w:t xml:space="preserve"> </w:t>
      </w:r>
      <w:r>
        <w:rPr>
          <w:rFonts w:ascii="Times New Roman"/>
          <w:szCs w:val="21"/>
        </w:rPr>
        <w:t xml:space="preserve"> 阴性对照</w:t>
      </w:r>
    </w:p>
    <w:p>
      <w:pPr>
        <w:pStyle w:val="19"/>
        <w:snapToGrid w:val="0"/>
        <w:spacing w:before="120" w:beforeLines="50" w:after="120" w:afterLines="50" w:line="300" w:lineRule="auto"/>
        <w:ind w:firstLine="420"/>
        <w:rPr>
          <w:rFonts w:ascii="Times New Roman"/>
          <w:szCs w:val="21"/>
        </w:rPr>
      </w:pPr>
      <w:r>
        <w:rPr>
          <w:rFonts w:ascii="Times New Roman"/>
          <w:szCs w:val="21"/>
        </w:rPr>
        <w:t>选用乳酸（LA，CAS：50-21-5，≥85%）作为阴性对照。根据细胞75%存活率情况确定阴性对照浓度。</w:t>
      </w:r>
    </w:p>
    <w:p>
      <w:pPr>
        <w:pStyle w:val="19"/>
        <w:snapToGrid w:val="0"/>
        <w:spacing w:before="120" w:beforeLines="50" w:after="120" w:afterLines="50" w:line="300" w:lineRule="auto"/>
        <w:ind w:firstLine="0" w:firstLineChars="0"/>
        <w:rPr>
          <w:rFonts w:ascii="Times New Roman" w:eastAsia="黑体"/>
          <w:bCs/>
          <w:szCs w:val="21"/>
        </w:rPr>
      </w:pPr>
      <w:r>
        <w:rPr>
          <w:rFonts w:ascii="Times New Roman" w:eastAsia="黑体"/>
          <w:bCs/>
          <w:szCs w:val="21"/>
        </w:rPr>
        <w:t xml:space="preserve">5.2 </w:t>
      </w:r>
      <w:r>
        <w:rPr>
          <w:rFonts w:hint="eastAsia" w:ascii="Times New Roman" w:eastAsia="黑体"/>
          <w:bCs/>
          <w:szCs w:val="21"/>
        </w:rPr>
        <w:t xml:space="preserve"> </w:t>
      </w:r>
      <w:r>
        <w:rPr>
          <w:rFonts w:ascii="Times New Roman" w:eastAsia="黑体"/>
          <w:bCs/>
          <w:szCs w:val="21"/>
        </w:rPr>
        <w:t xml:space="preserve">试验步骤 </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5.2.1 </w:t>
      </w:r>
      <w:r>
        <w:rPr>
          <w:rFonts w:hint="eastAsia" w:ascii="Times New Roman"/>
          <w:szCs w:val="21"/>
        </w:rPr>
        <w:t xml:space="preserve"> </w:t>
      </w:r>
      <w:r>
        <w:rPr>
          <w:rFonts w:ascii="Times New Roman"/>
          <w:szCs w:val="21"/>
        </w:rPr>
        <w:t>细胞培养</w:t>
      </w:r>
    </w:p>
    <w:p>
      <w:pPr>
        <w:pStyle w:val="19"/>
        <w:snapToGrid w:val="0"/>
        <w:spacing w:before="120" w:beforeLines="50" w:after="120" w:afterLines="50" w:line="300" w:lineRule="auto"/>
        <w:ind w:firstLine="420"/>
        <w:rPr>
          <w:rFonts w:ascii="Times New Roman"/>
          <w:szCs w:val="21"/>
        </w:rPr>
      </w:pPr>
      <w:r>
        <w:rPr>
          <w:rFonts w:ascii="Times New Roman"/>
          <w:szCs w:val="21"/>
        </w:rPr>
        <w:t>THP-1悬浮细胞使用1640完全培养基，于37</w:t>
      </w:r>
      <w:r>
        <w:rPr>
          <w:rFonts w:hint="eastAsia" w:ascii="Times New Roman"/>
          <w:szCs w:val="21"/>
        </w:rPr>
        <w:t xml:space="preserve"> </w:t>
      </w:r>
      <w:r>
        <w:rPr>
          <w:rFonts w:hint="eastAsia" w:hAnsi="宋体" w:cs="宋体"/>
          <w:szCs w:val="21"/>
        </w:rPr>
        <w:t>℃</w:t>
      </w:r>
      <w:r>
        <w:rPr>
          <w:rFonts w:ascii="Times New Roman"/>
          <w:szCs w:val="21"/>
        </w:rPr>
        <w:t>、5%CO</w:t>
      </w:r>
      <w:r>
        <w:rPr>
          <w:rFonts w:ascii="Times New Roman"/>
          <w:szCs w:val="21"/>
          <w:vertAlign w:val="subscript"/>
        </w:rPr>
        <w:t>2</w:t>
      </w:r>
      <w:r>
        <w:rPr>
          <w:rFonts w:ascii="Times New Roman"/>
          <w:szCs w:val="21"/>
        </w:rPr>
        <w:t>培养箱内培养，倒置显微镜下观察细胞状态。细胞复苏2周并通过稳定性检测后可开展试验。细胞最大培养浓度不宜超过1×10</w:t>
      </w:r>
      <w:r>
        <w:rPr>
          <w:rFonts w:ascii="Times New Roman"/>
          <w:szCs w:val="21"/>
          <w:vertAlign w:val="superscript"/>
        </w:rPr>
        <w:t>6</w:t>
      </w:r>
      <w:r>
        <w:rPr>
          <w:rFonts w:hint="eastAsia" w:ascii="Times New Roman"/>
          <w:szCs w:val="21"/>
          <w:vertAlign w:val="superscript"/>
        </w:rPr>
        <w:t xml:space="preserve"> </w:t>
      </w:r>
      <w:r>
        <w:rPr>
          <w:rFonts w:ascii="Times New Roman"/>
          <w:szCs w:val="21"/>
        </w:rPr>
        <w:t>个/mL，复苏后培养时间不超过2个月，传代次数不超过30次。</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5.2.2</w:t>
      </w:r>
      <w:r>
        <w:rPr>
          <w:rFonts w:hint="eastAsia" w:ascii="Times New Roman"/>
          <w:szCs w:val="21"/>
        </w:rPr>
        <w:t xml:space="preserve"> </w:t>
      </w:r>
      <w:r>
        <w:rPr>
          <w:rFonts w:ascii="Times New Roman"/>
          <w:szCs w:val="21"/>
        </w:rPr>
        <w:t xml:space="preserve"> 细胞稳定性检测</w:t>
      </w:r>
    </w:p>
    <w:p>
      <w:pPr>
        <w:pStyle w:val="19"/>
        <w:snapToGrid w:val="0"/>
        <w:spacing w:before="120" w:beforeLines="50" w:after="120" w:afterLines="50" w:line="300" w:lineRule="auto"/>
        <w:ind w:firstLine="420"/>
        <w:rPr>
          <w:rFonts w:ascii="Times New Roman"/>
          <w:szCs w:val="21"/>
        </w:rPr>
      </w:pPr>
      <w:r>
        <w:rPr>
          <w:rFonts w:ascii="Times New Roman"/>
          <w:szCs w:val="21"/>
        </w:rPr>
        <w:t>细胞复苏2周后，选用2,4-二硝基氯苯（DNCB，CAS：97-00-7，≥99%）和硫酸镍（NiSO</w:t>
      </w:r>
      <w:r>
        <w:rPr>
          <w:rFonts w:ascii="Times New Roman"/>
          <w:szCs w:val="21"/>
          <w:vertAlign w:val="subscript"/>
        </w:rPr>
        <w:t>4</w:t>
      </w:r>
      <w:r>
        <w:rPr>
          <w:rFonts w:ascii="Times New Roman"/>
          <w:szCs w:val="21"/>
        </w:rPr>
        <w:t>，CAS：10101-97-0，≥99%）作为阳性检测物，乳酸（LA，CAS：50-21-5，≥85%）作为阴性检测物。当细胞的CD86和CD54分子对DNCB和NiSO</w:t>
      </w:r>
      <w:r>
        <w:rPr>
          <w:rFonts w:ascii="Times New Roman"/>
          <w:szCs w:val="21"/>
          <w:vertAlign w:val="subscript"/>
        </w:rPr>
        <w:t>4</w:t>
      </w:r>
      <w:r>
        <w:rPr>
          <w:rFonts w:ascii="Times New Roman"/>
          <w:szCs w:val="21"/>
        </w:rPr>
        <w:t>均产生阳性表达，细胞的CD86和CD54分子对LA均产生阴性表达，视为细胞通过稳定性检测。</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5.2.3  CV75浓度确认</w:t>
      </w:r>
    </w:p>
    <w:p>
      <w:pPr>
        <w:pStyle w:val="19"/>
        <w:snapToGrid w:val="0"/>
        <w:spacing w:before="120" w:beforeLines="50" w:after="120" w:afterLines="50" w:line="300" w:lineRule="auto"/>
        <w:ind w:firstLine="420"/>
        <w:rPr>
          <w:rFonts w:ascii="Times New Roman"/>
          <w:szCs w:val="21"/>
        </w:rPr>
      </w:pPr>
      <w:r>
        <w:rPr>
          <w:rFonts w:ascii="Times New Roman"/>
          <w:szCs w:val="21"/>
        </w:rPr>
        <w:t>细胞以2×10</w:t>
      </w:r>
      <w:r>
        <w:rPr>
          <w:rFonts w:ascii="Times New Roman"/>
          <w:szCs w:val="21"/>
          <w:vertAlign w:val="superscript"/>
        </w:rPr>
        <w:t>5</w:t>
      </w:r>
      <w:r>
        <w:rPr>
          <w:rFonts w:hint="eastAsia" w:ascii="Times New Roman"/>
          <w:szCs w:val="21"/>
          <w:vertAlign w:val="superscript"/>
        </w:rPr>
        <w:t xml:space="preserve"> </w:t>
      </w:r>
      <w:r>
        <w:rPr>
          <w:rFonts w:ascii="Times New Roman"/>
          <w:szCs w:val="21"/>
        </w:rPr>
        <w:t>个/mL的密度于细胞培养箱内培养48 h后，4</w:t>
      </w:r>
      <w:r>
        <w:rPr>
          <w:rFonts w:hint="eastAsia" w:ascii="Times New Roman"/>
          <w:szCs w:val="21"/>
        </w:rPr>
        <w:t xml:space="preserve"> </w:t>
      </w:r>
      <w:r>
        <w:rPr>
          <w:rFonts w:hint="eastAsia" w:hAnsi="宋体" w:cs="宋体"/>
          <w:szCs w:val="21"/>
        </w:rPr>
        <w:t>℃</w:t>
      </w:r>
      <w:r>
        <w:rPr>
          <w:rFonts w:ascii="Times New Roman"/>
          <w:szCs w:val="21"/>
        </w:rPr>
        <w:t>，300×g离心5 min。加入新鲜的完全培养基调节细胞密度至2×10</w:t>
      </w:r>
      <w:r>
        <w:rPr>
          <w:rFonts w:ascii="Times New Roman"/>
          <w:szCs w:val="21"/>
          <w:vertAlign w:val="superscript"/>
        </w:rPr>
        <w:t>6</w:t>
      </w:r>
      <w:r>
        <w:rPr>
          <w:rFonts w:hint="eastAsia" w:ascii="Times New Roman"/>
          <w:szCs w:val="21"/>
          <w:vertAlign w:val="superscript"/>
        </w:rPr>
        <w:t xml:space="preserve"> </w:t>
      </w:r>
      <w:r>
        <w:rPr>
          <w:rFonts w:ascii="Times New Roman"/>
          <w:szCs w:val="21"/>
        </w:rPr>
        <w:t>个/mL。吸取500</w:t>
      </w:r>
      <w:r>
        <w:rPr>
          <w:rFonts w:hint="eastAsia" w:ascii="Times New Roman"/>
          <w:szCs w:val="21"/>
        </w:rPr>
        <w:t xml:space="preserve"> </w:t>
      </w:r>
      <w:r>
        <w:rPr>
          <w:rFonts w:ascii="Times New Roman"/>
          <w:szCs w:val="21"/>
        </w:rPr>
        <w:t>μL细胞悬液和500μL受试物工作液1:1混合接种于24孔板上。将24孔板放置于细胞培养箱内染毒24h后，转移至1.5</w:t>
      </w:r>
      <w:r>
        <w:rPr>
          <w:rFonts w:hint="eastAsia" w:ascii="Times New Roman"/>
          <w:szCs w:val="21"/>
        </w:rPr>
        <w:t xml:space="preserve"> </w:t>
      </w:r>
      <w:r>
        <w:rPr>
          <w:rFonts w:ascii="Times New Roman"/>
          <w:szCs w:val="21"/>
        </w:rPr>
        <w:t>mL离心管中，4</w:t>
      </w:r>
      <w:r>
        <w:rPr>
          <w:rFonts w:hint="eastAsia" w:hAnsi="宋体" w:cs="宋体"/>
          <w:szCs w:val="21"/>
        </w:rPr>
        <w:t>℃</w:t>
      </w:r>
      <w:r>
        <w:rPr>
          <w:rFonts w:ascii="Times New Roman"/>
          <w:szCs w:val="21"/>
        </w:rPr>
        <w:t>离心5 min，收集细胞并加入1 mL染色缓冲液清洗2次，清洗后加入7-AAD染色液于室温下染色10min。如PI，台盼蓝或其他经过证明能够提供相似结果的细胞毒性染料，也可用于细胞存活率检测。</w:t>
      </w:r>
    </w:p>
    <w:p>
      <w:pPr>
        <w:pStyle w:val="19"/>
        <w:snapToGrid w:val="0"/>
        <w:spacing w:before="120" w:beforeLines="50" w:after="120" w:afterLines="50" w:line="300" w:lineRule="auto"/>
        <w:ind w:firstLine="420"/>
        <w:rPr>
          <w:rFonts w:ascii="Times New Roman"/>
          <w:szCs w:val="21"/>
        </w:rPr>
      </w:pPr>
      <w:r>
        <w:rPr>
          <w:rFonts w:ascii="Times New Roman"/>
          <w:szCs w:val="21"/>
        </w:rPr>
        <w:t>染色完成后用1 mL染色缓冲液离心清洗细胞2次，最终加入500</w:t>
      </w:r>
      <w:r>
        <w:rPr>
          <w:rFonts w:hint="eastAsia" w:ascii="Times New Roman"/>
          <w:szCs w:val="21"/>
        </w:rPr>
        <w:t xml:space="preserve"> </w:t>
      </w:r>
      <w:r>
        <w:rPr>
          <w:rFonts w:ascii="Times New Roman"/>
          <w:szCs w:val="21"/>
        </w:rPr>
        <w:t>μL染色缓冲液重悬细胞，移入流式管上机测定。</w:t>
      </w:r>
    </w:p>
    <w:p>
      <w:pPr>
        <w:pStyle w:val="19"/>
        <w:snapToGrid w:val="0"/>
        <w:spacing w:before="120" w:beforeLines="50" w:after="120" w:afterLines="50" w:line="300" w:lineRule="auto"/>
        <w:ind w:firstLine="420"/>
        <w:rPr>
          <w:rFonts w:ascii="Times New Roman"/>
          <w:szCs w:val="21"/>
        </w:rPr>
      </w:pPr>
      <w:r>
        <w:rPr>
          <w:rFonts w:ascii="Times New Roman"/>
          <w:szCs w:val="21"/>
        </w:rPr>
        <w:t>流式细胞仪一次进样累计收集10000个活细胞。根据流式细胞仪给出的活细胞占总细胞的百分比，得到受试物8个不同浓度下的细胞存活率，用如下公式计算出细胞的CV75值。</w:t>
      </w:r>
    </w:p>
    <w:p>
      <w:pPr>
        <w:pStyle w:val="19"/>
        <w:spacing w:line="300" w:lineRule="auto"/>
        <w:ind w:firstLine="199" w:firstLineChars="95"/>
        <w:jc w:val="center"/>
        <w:rPr>
          <w:rFonts w:ascii="Times New Roman"/>
          <w:szCs w:val="21"/>
        </w:rPr>
      </w:pPr>
      <m:oMathPara>
        <m:oMath>
          <m:r>
            <m:rPr>
              <m:nor/>
              <m:sty m:val="p"/>
            </m:rPr>
            <w:rPr>
              <w:rFonts w:ascii="Times New Roman"/>
              <w:szCs w:val="21"/>
            </w:rPr>
            <m:t>LogCV75=</m:t>
          </m:r>
          <m:f>
            <m:fPr>
              <m:ctrlPr>
                <w:rPr>
                  <w:rFonts w:ascii="Cambria Math" w:hAnsi="Cambria Math"/>
                  <w:szCs w:val="21"/>
                </w:rPr>
              </m:ctrlPr>
            </m:fPr>
            <m:num>
              <m:r>
                <m:rPr>
                  <m:nor/>
                  <m:sty m:val="p"/>
                </m:rPr>
                <w:rPr>
                  <w:rFonts w:ascii="Times New Roman"/>
                  <w:szCs w:val="21"/>
                </w:rPr>
                <m:t>（75－c）×Log（b）－（75-a）×Log（d）</m:t>
              </m:r>
              <m:ctrlPr>
                <w:rPr>
                  <w:rFonts w:ascii="Cambria Math" w:hAnsi="Cambria Math"/>
                  <w:szCs w:val="21"/>
                </w:rPr>
              </m:ctrlPr>
            </m:num>
            <m:den>
              <m:r>
                <m:rPr>
                  <m:nor/>
                  <m:sty m:val="p"/>
                </m:rPr>
                <w:rPr>
                  <w:rFonts w:ascii="Times New Roman"/>
                  <w:szCs w:val="21"/>
                </w:rPr>
                <m:t>a－c</m:t>
              </m:r>
              <m:ctrlPr>
                <w:rPr>
                  <w:rFonts w:ascii="Cambria Math" w:hAnsi="Cambria Math"/>
                  <w:szCs w:val="21"/>
                </w:rPr>
              </m:ctrlPr>
            </m:den>
          </m:f>
        </m:oMath>
      </m:oMathPara>
    </w:p>
    <w:p>
      <w:pPr>
        <w:pStyle w:val="19"/>
        <w:snapToGrid w:val="0"/>
        <w:spacing w:before="120" w:beforeLines="50" w:after="120" w:afterLines="50" w:line="300" w:lineRule="auto"/>
        <w:ind w:firstLine="420"/>
        <w:rPr>
          <w:rFonts w:ascii="Times New Roman"/>
          <w:szCs w:val="21"/>
        </w:rPr>
      </w:pPr>
      <w:r>
        <w:rPr>
          <w:rFonts w:ascii="Times New Roman"/>
          <w:szCs w:val="21"/>
        </w:rPr>
        <w:t>a：超过75%的最低细胞存活率（%）</w:t>
      </w:r>
    </w:p>
    <w:p>
      <w:pPr>
        <w:pStyle w:val="19"/>
        <w:snapToGrid w:val="0"/>
        <w:spacing w:before="120" w:beforeLines="50" w:after="120" w:afterLines="50" w:line="300" w:lineRule="auto"/>
        <w:ind w:firstLine="420"/>
        <w:rPr>
          <w:rFonts w:ascii="Times New Roman"/>
          <w:szCs w:val="21"/>
        </w:rPr>
      </w:pPr>
      <w:r>
        <w:rPr>
          <w:rFonts w:ascii="Times New Roman"/>
          <w:szCs w:val="21"/>
        </w:rPr>
        <w:t>b：a对应的受试物浓度（μg/mL）</w:t>
      </w:r>
    </w:p>
    <w:p>
      <w:pPr>
        <w:pStyle w:val="19"/>
        <w:snapToGrid w:val="0"/>
        <w:spacing w:before="120" w:beforeLines="50" w:after="120" w:afterLines="50" w:line="300" w:lineRule="auto"/>
        <w:ind w:firstLine="420"/>
        <w:rPr>
          <w:rFonts w:ascii="Times New Roman"/>
          <w:szCs w:val="21"/>
        </w:rPr>
      </w:pPr>
      <w:r>
        <w:rPr>
          <w:rFonts w:ascii="Times New Roman"/>
          <w:szCs w:val="21"/>
        </w:rPr>
        <w:t>c：未超过75%的最高细胞存活率（%）</w:t>
      </w:r>
    </w:p>
    <w:p>
      <w:pPr>
        <w:pStyle w:val="19"/>
        <w:snapToGrid w:val="0"/>
        <w:spacing w:before="120" w:beforeLines="50" w:after="120" w:afterLines="50" w:line="300" w:lineRule="auto"/>
        <w:ind w:firstLine="420"/>
        <w:rPr>
          <w:rFonts w:ascii="Times New Roman"/>
          <w:szCs w:val="21"/>
        </w:rPr>
      </w:pPr>
      <w:r>
        <w:rPr>
          <w:rFonts w:ascii="Times New Roman"/>
          <w:szCs w:val="21"/>
        </w:rPr>
        <w:t>d：c对应的受试物浓度（μg/mL）</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5.2.4  CD86、CD54表达检测 </w:t>
      </w:r>
    </w:p>
    <w:p>
      <w:pPr>
        <w:pStyle w:val="19"/>
        <w:snapToGrid w:val="0"/>
        <w:spacing w:before="120" w:beforeLines="50" w:after="120" w:afterLines="50" w:line="300" w:lineRule="auto"/>
        <w:ind w:firstLine="420"/>
        <w:rPr>
          <w:rFonts w:ascii="Times New Roman"/>
          <w:szCs w:val="21"/>
        </w:rPr>
      </w:pPr>
      <w:r>
        <w:rPr>
          <w:rFonts w:ascii="Times New Roman"/>
          <w:szCs w:val="21"/>
        </w:rPr>
        <w:t>根据已经测得的CV75值配制CD86、CD54表达检测的受试物工作液浓度。将最终细胞接触浓度值最高设置为1.2×CV75，依次1.2倍稀释得到8个工作液浓度系列。如果受试物不具有细胞毒性，则最终细胞接触浓度最高设置为5</w:t>
      </w:r>
      <w:r>
        <w:rPr>
          <w:rFonts w:hint="eastAsia" w:ascii="Times New Roman"/>
          <w:szCs w:val="21"/>
        </w:rPr>
        <w:t xml:space="preserve"> </w:t>
      </w:r>
      <w:r>
        <w:rPr>
          <w:rFonts w:ascii="Times New Roman"/>
          <w:szCs w:val="21"/>
        </w:rPr>
        <w:t>mg/mL（溶解于1640完全培养基或生理盐水）或1</w:t>
      </w:r>
      <w:r>
        <w:rPr>
          <w:rFonts w:hint="eastAsia" w:ascii="Times New Roman"/>
          <w:szCs w:val="21"/>
        </w:rPr>
        <w:t xml:space="preserve"> </w:t>
      </w:r>
      <w:r>
        <w:rPr>
          <w:rFonts w:ascii="Times New Roman"/>
          <w:szCs w:val="21"/>
        </w:rPr>
        <w:t>mg/mL（溶解于DMSO）。空白对照为1640完全培养基，溶剂对照为受试物溶剂，阳性对照为DNCB或其他可在本试验中稳定表达的致敏物。</w:t>
      </w:r>
    </w:p>
    <w:p>
      <w:pPr>
        <w:pStyle w:val="19"/>
        <w:snapToGrid w:val="0"/>
        <w:spacing w:before="120" w:beforeLines="50" w:after="120" w:afterLines="50" w:line="300" w:lineRule="auto"/>
        <w:ind w:firstLine="420"/>
        <w:rPr>
          <w:rFonts w:ascii="Times New Roman"/>
          <w:szCs w:val="21"/>
        </w:rPr>
      </w:pPr>
      <w:r>
        <w:rPr>
          <w:rFonts w:ascii="Times New Roman"/>
          <w:szCs w:val="21"/>
        </w:rPr>
        <w:t>以2×10</w:t>
      </w:r>
      <w:r>
        <w:rPr>
          <w:rFonts w:ascii="Times New Roman"/>
          <w:szCs w:val="21"/>
          <w:vertAlign w:val="superscript"/>
        </w:rPr>
        <w:t>5</w:t>
      </w:r>
      <w:r>
        <w:rPr>
          <w:rFonts w:hint="eastAsia" w:ascii="Times New Roman"/>
          <w:szCs w:val="21"/>
          <w:vertAlign w:val="superscript"/>
        </w:rPr>
        <w:t xml:space="preserve"> </w:t>
      </w:r>
      <w:r>
        <w:rPr>
          <w:rFonts w:ascii="Times New Roman"/>
          <w:szCs w:val="21"/>
        </w:rPr>
        <w:t>个/mL的初始密度培养2d后，离心调节细胞密度至2×10</w:t>
      </w:r>
      <w:r>
        <w:rPr>
          <w:rFonts w:ascii="Times New Roman"/>
          <w:szCs w:val="21"/>
          <w:vertAlign w:val="superscript"/>
        </w:rPr>
        <w:t>6</w:t>
      </w:r>
      <w:r>
        <w:rPr>
          <w:rFonts w:hint="eastAsia" w:ascii="Times New Roman"/>
          <w:szCs w:val="21"/>
          <w:vertAlign w:val="superscript"/>
        </w:rPr>
        <w:t xml:space="preserve"> </w:t>
      </w:r>
      <w:r>
        <w:rPr>
          <w:rFonts w:ascii="Times New Roman"/>
          <w:szCs w:val="21"/>
        </w:rPr>
        <w:t>个/mL。取500</w:t>
      </w:r>
      <w:r>
        <w:rPr>
          <w:rFonts w:hint="eastAsia" w:ascii="Times New Roman"/>
          <w:szCs w:val="21"/>
        </w:rPr>
        <w:t xml:space="preserve"> </w:t>
      </w:r>
      <w:r>
        <w:rPr>
          <w:rFonts w:ascii="Times New Roman"/>
          <w:szCs w:val="21"/>
        </w:rPr>
        <w:t>μL细胞悬液和500</w:t>
      </w:r>
      <w:r>
        <w:rPr>
          <w:rFonts w:hint="eastAsia" w:ascii="Times New Roman"/>
          <w:szCs w:val="21"/>
        </w:rPr>
        <w:t xml:space="preserve"> </w:t>
      </w:r>
      <w:r>
        <w:rPr>
          <w:rFonts w:ascii="Times New Roman"/>
          <w:szCs w:val="21"/>
        </w:rPr>
        <w:t>μL受试物工作液1:1混合接种于24孔板上。每次CD86、CD54表达检测试验均设置一个空白对照、一个溶剂对照和一个阳性对照（当使用1640培养基或生理盐水作为溶剂时，溶剂对照与空白对照相同）。将24孔板放置细胞培养箱内染毒24h后转移到1.5 mL离心管，用1 mL染色缓冲液清洗细胞2次后，加入人Fc受体阻断剂对细胞Fc段抗体进行封闭、加入7-AAD染色液对死细胞染色。</w:t>
      </w:r>
    </w:p>
    <w:p>
      <w:pPr>
        <w:pStyle w:val="19"/>
        <w:snapToGrid w:val="0"/>
        <w:spacing w:before="120" w:beforeLines="50" w:after="120" w:afterLines="50" w:line="300" w:lineRule="auto"/>
        <w:ind w:firstLine="420"/>
        <w:rPr>
          <w:rFonts w:ascii="Times New Roman"/>
          <w:szCs w:val="21"/>
        </w:rPr>
      </w:pPr>
      <w:r>
        <w:rPr>
          <w:rFonts w:ascii="Times New Roman"/>
          <w:szCs w:val="21"/>
        </w:rPr>
        <w:t>染色和封闭完成后，用染色缓冲液清洗细胞2次后进行抗体染色。将每管细胞平均分为两份，一份作为试验组，加入FITC-CD86和PE-CD54，加染色缓冲液至50</w:t>
      </w:r>
      <w:r>
        <w:rPr>
          <w:rFonts w:hint="eastAsia" w:ascii="Times New Roman"/>
          <w:szCs w:val="21"/>
        </w:rPr>
        <w:t xml:space="preserve"> </w:t>
      </w:r>
      <w:r>
        <w:rPr>
          <w:rFonts w:ascii="Times New Roman"/>
          <w:szCs w:val="21"/>
        </w:rPr>
        <w:t>μL染色体系；另一份作为同型对照组，加入FITC-IgG1和PE-IgG1，加染色缓冲液至50</w:t>
      </w:r>
      <w:r>
        <w:rPr>
          <w:rFonts w:hint="eastAsia" w:ascii="Times New Roman"/>
          <w:szCs w:val="21"/>
        </w:rPr>
        <w:t xml:space="preserve"> </w:t>
      </w:r>
      <w:r>
        <w:rPr>
          <w:rFonts w:ascii="Times New Roman"/>
          <w:szCs w:val="21"/>
        </w:rPr>
        <w:t>μL染色体系（染料具体用量可根据所购染料性质和实验室情况确定，推荐用量为6</w:t>
      </w:r>
      <w:r>
        <w:rPr>
          <w:rFonts w:hint="eastAsia" w:ascii="Times New Roman"/>
          <w:szCs w:val="21"/>
        </w:rPr>
        <w:t xml:space="preserve"> </w:t>
      </w:r>
      <w:r>
        <w:rPr>
          <w:rFonts w:ascii="Times New Roman"/>
          <w:szCs w:val="21"/>
        </w:rPr>
        <w:t>μL的FITC和1</w:t>
      </w:r>
      <w:r>
        <w:rPr>
          <w:rFonts w:hint="eastAsia" w:ascii="Times New Roman"/>
          <w:szCs w:val="21"/>
        </w:rPr>
        <w:t xml:space="preserve"> </w:t>
      </w:r>
      <w:r>
        <w:rPr>
          <w:rFonts w:ascii="Times New Roman"/>
          <w:szCs w:val="21"/>
        </w:rPr>
        <w:t>μL的PE加染色缓冲液至50</w:t>
      </w:r>
      <w:r>
        <w:rPr>
          <w:rFonts w:hint="eastAsia" w:ascii="Times New Roman"/>
          <w:szCs w:val="21"/>
        </w:rPr>
        <w:t xml:space="preserve"> </w:t>
      </w:r>
      <w:r>
        <w:rPr>
          <w:rFonts w:ascii="Times New Roman"/>
          <w:szCs w:val="21"/>
        </w:rPr>
        <w:t>μL染色体系）。两组细胞加入染料后轻轻吹打几次使染色均匀，4</w:t>
      </w:r>
      <w:r>
        <w:rPr>
          <w:rFonts w:hint="eastAsia" w:hAnsi="宋体" w:cs="宋体"/>
          <w:szCs w:val="21"/>
        </w:rPr>
        <w:t>℃</w:t>
      </w:r>
      <w:r>
        <w:rPr>
          <w:rFonts w:ascii="Times New Roman"/>
          <w:szCs w:val="21"/>
        </w:rPr>
        <w:t>、避光染色30 min。其他荧光染料标记的CD86和CD54抗体如经证明，能够提供与FITC、PE偶联抗体类似的结果（如通过附件1的参考物质验证），也可用于CD86、CD54表达检测。</w:t>
      </w:r>
    </w:p>
    <w:p>
      <w:pPr>
        <w:pStyle w:val="19"/>
        <w:snapToGrid w:val="0"/>
        <w:spacing w:before="120" w:beforeLines="50" w:after="120" w:afterLines="50" w:line="300" w:lineRule="auto"/>
        <w:ind w:firstLine="420"/>
        <w:rPr>
          <w:rFonts w:ascii="Times New Roman"/>
          <w:szCs w:val="21"/>
        </w:rPr>
      </w:pPr>
      <w:r>
        <w:rPr>
          <w:rFonts w:ascii="Times New Roman"/>
          <w:szCs w:val="21"/>
        </w:rPr>
        <w:t>染色完成后加入染色缓冲液清洗2次。最终用500 μL染色缓冲液重悬细胞，移至流式管中待用。用流式细胞仪对每组细胞的FITC、PE、7-AAD染料的荧光强度均值（Mean Fluorescence Intensity，MFI）进行测定。用如下公式计算出受试物的相对荧光强度值（Relative Fluorescence Intensity，RFI）。</w:t>
      </w:r>
    </w:p>
    <w:p>
      <w:pPr>
        <w:spacing w:line="300" w:lineRule="auto"/>
        <w:ind w:firstLine="1260" w:firstLineChars="600"/>
        <w:jc w:val="center"/>
        <w:rPr>
          <w:rFonts w:ascii="Times New Roman" w:hAnsi="Times New Roman" w:eastAsia="宋体" w:cs="Times New Roman"/>
          <w:kern w:val="0"/>
          <w:szCs w:val="21"/>
        </w:rPr>
      </w:pPr>
      <m:oMathPara>
        <m:oMath>
          <m:r>
            <m:rPr>
              <m:nor/>
              <m:sty m:val="p"/>
            </m:rPr>
            <w:rPr>
              <w:rFonts w:ascii="Times New Roman" w:hAnsi="Times New Roman" w:eastAsia="宋体" w:cs="Times New Roman"/>
              <w:kern w:val="0"/>
              <w:szCs w:val="21"/>
            </w:rPr>
            <m:t>RFI=</m:t>
          </m:r>
          <m:f>
            <m:fPr>
              <m:ctrlPr>
                <w:rPr>
                  <w:rFonts w:ascii="Cambria Math" w:hAnsi="Cambria Math" w:eastAsia="宋体" w:cs="Times New Roman"/>
                  <w:kern w:val="0"/>
                  <w:szCs w:val="21"/>
                </w:rPr>
              </m:ctrlPr>
            </m:fPr>
            <m:num>
              <m:r>
                <m:rPr>
                  <m:nor/>
                  <m:sty m:val="p"/>
                </m:rPr>
                <w:rPr>
                  <w:rFonts w:ascii="Times New Roman" w:hAnsi="Times New Roman" w:eastAsia="宋体" w:cs="Times New Roman"/>
                  <w:kern w:val="0"/>
                  <w:szCs w:val="21"/>
                </w:rPr>
                <m:t>（受试组MFI－受试组同型对照MFI）×100</m:t>
              </m:r>
              <m:ctrlPr>
                <w:rPr>
                  <w:rFonts w:ascii="Cambria Math" w:hAnsi="Cambria Math" w:eastAsia="宋体" w:cs="Times New Roman"/>
                  <w:kern w:val="0"/>
                  <w:szCs w:val="21"/>
                </w:rPr>
              </m:ctrlPr>
            </m:num>
            <m:den>
              <m:r>
                <m:rPr>
                  <m:nor/>
                  <m:sty m:val="p"/>
                </m:rPr>
                <w:rPr>
                  <w:rFonts w:ascii="Times New Roman" w:hAnsi="Times New Roman" w:eastAsia="宋体" w:cs="Times New Roman"/>
                  <w:kern w:val="0"/>
                  <w:szCs w:val="21"/>
                </w:rPr>
                <m:t>溶剂对照组MFI－溶剂对照组同型对照MFI</m:t>
              </m:r>
              <m:ctrlPr>
                <w:rPr>
                  <w:rFonts w:ascii="Cambria Math" w:hAnsi="Cambria Math" w:eastAsia="宋体" w:cs="Times New Roman"/>
                  <w:kern w:val="0"/>
                  <w:szCs w:val="21"/>
                </w:rPr>
              </m:ctrlPr>
            </m:den>
          </m:f>
        </m:oMath>
      </m:oMathPara>
    </w:p>
    <w:p>
      <w:pPr>
        <w:pStyle w:val="19"/>
        <w:snapToGrid w:val="0"/>
        <w:spacing w:before="120" w:beforeLines="50" w:after="120" w:afterLines="50" w:line="300" w:lineRule="auto"/>
        <w:ind w:firstLine="0" w:firstLineChars="0"/>
        <w:rPr>
          <w:rFonts w:ascii="Times New Roman"/>
          <w:szCs w:val="21"/>
        </w:rPr>
      </w:pPr>
      <w:r>
        <w:rPr>
          <w:rFonts w:ascii="Times New Roman"/>
          <w:szCs w:val="21"/>
        </w:rPr>
        <w:t>5.2.5  流式细胞仪</w:t>
      </w:r>
    </w:p>
    <w:p>
      <w:pPr>
        <w:pStyle w:val="19"/>
        <w:snapToGrid w:val="0"/>
        <w:spacing w:before="120" w:beforeLines="50" w:after="120" w:afterLines="50" w:line="300" w:lineRule="auto"/>
        <w:ind w:firstLine="420"/>
        <w:rPr>
          <w:rFonts w:ascii="Times New Roman"/>
          <w:szCs w:val="21"/>
        </w:rPr>
      </w:pPr>
      <w:r>
        <w:rPr>
          <w:rFonts w:ascii="Times New Roman"/>
          <w:szCs w:val="21"/>
        </w:rPr>
        <w:t>正式测定前应用空白细胞和每种染料的单染细胞调节流式细胞仪的电压和补偿，确保消除不同测试通道间的相互干扰。调试好测定条件后，每次实验累计收集10000个活细胞，当细胞存活率低导致活细胞数量不足时，至少累计收集30000个细胞。</w:t>
      </w:r>
    </w:p>
    <w:p>
      <w:pPr>
        <w:pStyle w:val="19"/>
        <w:snapToGrid w:val="0"/>
        <w:spacing w:before="120" w:beforeLines="50" w:after="120" w:afterLines="50" w:line="300" w:lineRule="auto"/>
        <w:ind w:firstLine="0" w:firstLineChars="0"/>
        <w:rPr>
          <w:rFonts w:ascii="Times New Roman" w:eastAsia="黑体"/>
          <w:bCs/>
          <w:szCs w:val="21"/>
        </w:rPr>
      </w:pPr>
      <w:r>
        <w:rPr>
          <w:rFonts w:ascii="Times New Roman" w:eastAsia="黑体"/>
          <w:bCs/>
          <w:szCs w:val="21"/>
        </w:rPr>
        <w:t>6  结果判定标准</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6.1 </w:t>
      </w:r>
      <w:r>
        <w:rPr>
          <w:rFonts w:hint="eastAsia" w:ascii="Times New Roman"/>
          <w:szCs w:val="21"/>
        </w:rPr>
        <w:t xml:space="preserve"> </w:t>
      </w:r>
      <w:r>
        <w:rPr>
          <w:rFonts w:ascii="Times New Roman"/>
          <w:szCs w:val="21"/>
        </w:rPr>
        <w:t>致敏性结果判定</w:t>
      </w:r>
    </w:p>
    <w:p>
      <w:pPr>
        <w:pStyle w:val="19"/>
        <w:snapToGrid w:val="0"/>
        <w:spacing w:before="120" w:beforeLines="50" w:after="120" w:afterLines="50" w:line="300" w:lineRule="auto"/>
        <w:ind w:firstLine="420"/>
        <w:rPr>
          <w:rFonts w:ascii="Times New Roman"/>
          <w:szCs w:val="21"/>
        </w:rPr>
      </w:pPr>
      <w:r>
        <w:rPr>
          <w:rFonts w:ascii="Times New Roman"/>
          <w:szCs w:val="21"/>
        </w:rPr>
        <w:t>每种受试物至少进行两次独立的CD86、CD54表达检测试验。每次表达检测试验，在细胞存活率大于50%的前提下，如果有任一浓度下的受试物RFICD86≥150，则该次CD86表达判定为阳性；如果有RFICD54≥200，则该次CD54表达判定为阳性。两次试验中CD86和CD54任一指标两次判定为阳性则判定该物质具有致敏性。如果两次试验CD86和CD54的表达均不具有一致性，则进行第三次试验。若第三次试验中CD86和CD54表达均为阴性，判定为非致敏物，否则判定该物质具有致敏性。</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6.2 </w:t>
      </w:r>
      <w:r>
        <w:rPr>
          <w:rFonts w:hint="eastAsia" w:ascii="Times New Roman"/>
          <w:szCs w:val="21"/>
        </w:rPr>
        <w:t xml:space="preserve"> </w:t>
      </w:r>
      <w:r>
        <w:rPr>
          <w:rFonts w:ascii="Times New Roman"/>
          <w:szCs w:val="21"/>
        </w:rPr>
        <w:t>有效作用浓度计算</w:t>
      </w:r>
    </w:p>
    <w:p>
      <w:pPr>
        <w:pStyle w:val="19"/>
        <w:snapToGrid w:val="0"/>
        <w:spacing w:before="120" w:beforeLines="50" w:after="120" w:afterLines="50" w:line="300" w:lineRule="auto"/>
        <w:ind w:firstLine="420"/>
        <w:rPr>
          <w:rFonts w:ascii="Times New Roman"/>
          <w:szCs w:val="21"/>
        </w:rPr>
      </w:pPr>
      <w:r>
        <w:rPr>
          <w:rFonts w:ascii="Times New Roman"/>
          <w:szCs w:val="21"/>
        </w:rPr>
        <w:t>对于判定为具有致敏性的物质，可以进一步计算其有效作用浓度值（Effective Concentration，EC）。</w:t>
      </w:r>
      <w:bookmarkStart w:id="0" w:name="_Hlk86152790"/>
      <w:r>
        <w:rPr>
          <w:rFonts w:ascii="Times New Roman"/>
          <w:szCs w:val="21"/>
        </w:rPr>
        <w:t>EC值是能引起阳性表达的最低作用浓度，在形成整合策略（IATA）时有助于预测致敏效力。</w:t>
      </w:r>
    </w:p>
    <w:p>
      <w:pPr>
        <w:pStyle w:val="19"/>
        <w:snapToGrid w:val="0"/>
        <w:spacing w:before="120" w:beforeLines="50" w:after="120" w:afterLines="50" w:line="300" w:lineRule="auto"/>
        <w:ind w:firstLine="420"/>
        <w:rPr>
          <w:rFonts w:ascii="Times New Roman"/>
          <w:szCs w:val="21"/>
        </w:rPr>
      </w:pPr>
      <w:r>
        <w:rPr>
          <w:rFonts w:ascii="Times New Roman"/>
          <w:szCs w:val="21"/>
        </w:rPr>
        <w:t>当所测浓度范围内既有RFICD86≥150又有RFICD86&lt; 150时，</w:t>
      </w:r>
      <w:bookmarkEnd w:id="0"/>
      <w:r>
        <w:rPr>
          <w:rFonts w:ascii="Times New Roman"/>
          <w:szCs w:val="21"/>
        </w:rPr>
        <w:t>计算CD86的有效作用浓度值（EC150），公式如下：</w:t>
      </w:r>
    </w:p>
    <w:p>
      <w:pPr>
        <w:pStyle w:val="19"/>
        <w:spacing w:line="300" w:lineRule="auto"/>
        <w:ind w:firstLine="420"/>
        <w:jc w:val="center"/>
        <w:rPr>
          <w:rFonts w:ascii="Times New Roman"/>
          <w:szCs w:val="21"/>
        </w:rPr>
      </w:pPr>
      <m:oMathPara>
        <m:oMathParaPr>
          <m:jc m:val="center"/>
        </m:oMathParaPr>
        <m:oMath>
          <m:r>
            <m:rPr>
              <m:nor/>
              <m:sty m:val="p"/>
            </m:rPr>
            <w:rPr>
              <w:rFonts w:ascii="Times New Roman"/>
              <w:szCs w:val="21"/>
            </w:rPr>
            <m:t>EC150=CB+</m:t>
          </m:r>
          <m:f>
            <m:fPr>
              <m:ctrlPr>
                <w:rPr>
                  <w:rFonts w:ascii="Cambria Math" w:hAnsi="Cambria Math"/>
                  <w:szCs w:val="21"/>
                </w:rPr>
              </m:ctrlPr>
            </m:fPr>
            <m:num>
              <m:r>
                <m:rPr>
                  <m:nor/>
                  <m:sty m:val="p"/>
                </m:rPr>
                <w:rPr>
                  <w:rFonts w:ascii="Times New Roman"/>
                  <w:szCs w:val="21"/>
                </w:rPr>
                <m:t>(150－RFIB)×(CA－CB)</m:t>
              </m:r>
              <m:ctrlPr>
                <w:rPr>
                  <w:rFonts w:ascii="Cambria Math" w:hAnsi="Cambria Math"/>
                  <w:szCs w:val="21"/>
                </w:rPr>
              </m:ctrlPr>
            </m:num>
            <m:den>
              <m:r>
                <m:rPr>
                  <m:nor/>
                  <m:sty m:val="p"/>
                </m:rPr>
                <w:rPr>
                  <w:rFonts w:ascii="Times New Roman"/>
                  <w:szCs w:val="21"/>
                </w:rPr>
                <m:t>RFIA－RFIB</m:t>
              </m:r>
              <m:ctrlPr>
                <w:rPr>
                  <w:rFonts w:ascii="Cambria Math" w:hAnsi="Cambria Math"/>
                  <w:szCs w:val="21"/>
                </w:rPr>
              </m:ctrlPr>
            </m:den>
          </m:f>
        </m:oMath>
      </m:oMathPara>
    </w:p>
    <w:p>
      <w:pPr>
        <w:pStyle w:val="19"/>
        <w:snapToGrid w:val="0"/>
        <w:spacing w:before="120" w:beforeLines="50" w:after="120" w:afterLines="50" w:line="300" w:lineRule="auto"/>
        <w:ind w:firstLine="420"/>
        <w:rPr>
          <w:rFonts w:ascii="Times New Roman"/>
          <w:szCs w:val="21"/>
        </w:rPr>
      </w:pPr>
      <w:r>
        <w:rPr>
          <w:rFonts w:ascii="Times New Roman"/>
          <w:szCs w:val="21"/>
        </w:rPr>
        <w:t>当所测浓度范围内既有RFICD54≥200又有RFICD54&lt; 200时，计算CD54的RFI的有效作用浓度值(EC200)，公式如下：</w:t>
      </w:r>
    </w:p>
    <w:p>
      <w:pPr>
        <w:pStyle w:val="19"/>
        <w:spacing w:line="300" w:lineRule="auto"/>
        <w:ind w:firstLine="420"/>
        <w:jc w:val="center"/>
        <w:rPr>
          <w:rFonts w:ascii="Times New Roman"/>
          <w:szCs w:val="21"/>
        </w:rPr>
      </w:pPr>
      <m:oMathPara>
        <m:oMathParaPr>
          <m:jc m:val="center"/>
        </m:oMathParaPr>
        <m:oMath>
          <m:r>
            <m:rPr>
              <m:nor/>
              <m:sty m:val="p"/>
            </m:rPr>
            <w:rPr>
              <w:rFonts w:ascii="Times New Roman"/>
              <w:szCs w:val="21"/>
            </w:rPr>
            <m:t>EC200=CB+</m:t>
          </m:r>
          <m:f>
            <m:fPr>
              <m:ctrlPr>
                <w:rPr>
                  <w:rFonts w:ascii="Cambria Math" w:hAnsi="Cambria Math"/>
                  <w:szCs w:val="21"/>
                </w:rPr>
              </m:ctrlPr>
            </m:fPr>
            <m:num>
              <m:r>
                <m:rPr>
                  <m:nor/>
                  <m:sty m:val="p"/>
                </m:rPr>
                <w:rPr>
                  <w:rFonts w:ascii="Times New Roman"/>
                  <w:szCs w:val="21"/>
                </w:rPr>
                <m:t>(200－RFIB)×(CA－CB)</m:t>
              </m:r>
              <m:ctrlPr>
                <w:rPr>
                  <w:rFonts w:ascii="Cambria Math" w:hAnsi="Cambria Math"/>
                  <w:szCs w:val="21"/>
                </w:rPr>
              </m:ctrlPr>
            </m:num>
            <m:den>
              <m:r>
                <m:rPr>
                  <m:nor/>
                  <m:sty m:val="p"/>
                </m:rPr>
                <w:rPr>
                  <w:rFonts w:ascii="Times New Roman"/>
                  <w:szCs w:val="21"/>
                </w:rPr>
                <m:t>RFIA－RFIB</m:t>
              </m:r>
              <m:ctrlPr>
                <w:rPr>
                  <w:rFonts w:ascii="Cambria Math" w:hAnsi="Cambria Math"/>
                  <w:szCs w:val="21"/>
                </w:rPr>
              </m:ctrlPr>
            </m:den>
          </m:f>
        </m:oMath>
      </m:oMathPara>
    </w:p>
    <w:p>
      <w:pPr>
        <w:pStyle w:val="19"/>
        <w:snapToGrid w:val="0"/>
        <w:spacing w:before="120" w:beforeLines="50" w:after="120" w:afterLines="50" w:line="300" w:lineRule="auto"/>
        <w:ind w:firstLine="420"/>
        <w:rPr>
          <w:rFonts w:ascii="Times New Roman"/>
          <w:szCs w:val="21"/>
        </w:rPr>
      </w:pPr>
      <w:r>
        <w:rPr>
          <w:rFonts w:ascii="Times New Roman"/>
          <w:szCs w:val="21"/>
        </w:rPr>
        <w:t>RFIA： RFI≥150（EC150）或≥200（EC200）的最低RFI值</w:t>
      </w:r>
    </w:p>
    <w:p>
      <w:pPr>
        <w:pStyle w:val="19"/>
        <w:snapToGrid w:val="0"/>
        <w:spacing w:before="120" w:beforeLines="50" w:after="120" w:afterLines="50" w:line="300" w:lineRule="auto"/>
        <w:ind w:firstLine="420"/>
        <w:rPr>
          <w:rFonts w:ascii="Times New Roman"/>
          <w:szCs w:val="21"/>
        </w:rPr>
      </w:pPr>
      <w:r>
        <w:rPr>
          <w:rFonts w:ascii="Times New Roman"/>
          <w:szCs w:val="21"/>
        </w:rPr>
        <w:t>RFIB： RFI&lt;150（EC150）或&gt;200（EC200）的最高RFI值</w:t>
      </w:r>
    </w:p>
    <w:p>
      <w:pPr>
        <w:pStyle w:val="19"/>
        <w:snapToGrid w:val="0"/>
        <w:spacing w:before="120" w:beforeLines="50" w:after="120" w:afterLines="50" w:line="300" w:lineRule="auto"/>
        <w:ind w:firstLine="420"/>
        <w:rPr>
          <w:rFonts w:ascii="Times New Roman"/>
          <w:szCs w:val="21"/>
        </w:rPr>
      </w:pPr>
      <w:r>
        <w:rPr>
          <w:rFonts w:ascii="Times New Roman"/>
          <w:szCs w:val="21"/>
        </w:rPr>
        <w:t>CA（μg/mL）：RFIA对应的受试物浓度</w:t>
      </w:r>
    </w:p>
    <w:p>
      <w:pPr>
        <w:pStyle w:val="19"/>
        <w:snapToGrid w:val="0"/>
        <w:spacing w:before="120" w:beforeLines="50" w:after="120" w:afterLines="50" w:line="300" w:lineRule="auto"/>
        <w:ind w:firstLine="420"/>
        <w:rPr>
          <w:rFonts w:ascii="Times New Roman"/>
          <w:szCs w:val="21"/>
        </w:rPr>
      </w:pPr>
      <w:r>
        <w:rPr>
          <w:rFonts w:ascii="Times New Roman"/>
          <w:szCs w:val="21"/>
        </w:rPr>
        <w:t>CB（μg/mL）：RFIB对应的受试物浓度</w:t>
      </w:r>
    </w:p>
    <w:p>
      <w:pPr>
        <w:pStyle w:val="19"/>
        <w:snapToGrid w:val="0"/>
        <w:spacing w:before="120" w:beforeLines="50" w:after="120" w:afterLines="50" w:line="300" w:lineRule="auto"/>
        <w:ind w:firstLine="420"/>
        <w:rPr>
          <w:rFonts w:ascii="Times New Roman"/>
          <w:szCs w:val="21"/>
        </w:rPr>
      </w:pPr>
      <w:r>
        <w:rPr>
          <w:rFonts w:ascii="Times New Roman"/>
          <w:szCs w:val="21"/>
        </w:rPr>
        <w:t xml:space="preserve">若所测浓度范围内RFI CD86均&gt; 150，选用如下公式计算EC150： </w:t>
      </w:r>
    </w:p>
    <w:p>
      <w:pPr>
        <w:pStyle w:val="19"/>
        <w:spacing w:line="300" w:lineRule="auto"/>
        <w:ind w:firstLine="420"/>
        <w:jc w:val="center"/>
        <w:rPr>
          <w:rFonts w:ascii="Times New Roman"/>
          <w:szCs w:val="21"/>
        </w:rPr>
      </w:pPr>
      <m:oMath>
        <m:r>
          <m:rPr>
            <m:nor/>
            <m:sty m:val="p"/>
          </m:rPr>
          <w:rPr>
            <w:rFonts w:ascii="Times New Roman"/>
            <w:szCs w:val="21"/>
          </w:rPr>
          <m:t>EC150=2^[log2(CB)+</m:t>
        </m:r>
        <m:f>
          <m:fPr>
            <m:ctrlPr>
              <w:rPr>
                <w:rFonts w:ascii="Cambria Math" w:hAnsi="Cambria Math"/>
                <w:szCs w:val="21"/>
              </w:rPr>
            </m:ctrlPr>
          </m:fPr>
          <m:num>
            <m:d>
              <m:dPr>
                <m:ctrlPr>
                  <w:rPr>
                    <w:rFonts w:ascii="Cambria Math" w:hAnsi="Cambria Math"/>
                    <w:szCs w:val="21"/>
                  </w:rPr>
                </m:ctrlPr>
              </m:dPr>
              <m:e>
                <m:r>
                  <m:rPr>
                    <m:nor/>
                    <m:sty m:val="p"/>
                  </m:rPr>
                  <w:rPr>
                    <w:rFonts w:ascii="Times New Roman"/>
                    <w:szCs w:val="21"/>
                  </w:rPr>
                  <m:t>150－RFIB</m:t>
                </m:r>
                <m:ctrlPr>
                  <w:rPr>
                    <w:rFonts w:ascii="Cambria Math" w:hAnsi="Cambria Math"/>
                    <w:szCs w:val="21"/>
                  </w:rPr>
                </m:ctrlPr>
              </m:e>
            </m:d>
            <m:r>
              <m:rPr>
                <m:nor/>
                <m:sty m:val="p"/>
              </m:rPr>
              <w:rPr>
                <w:rFonts w:ascii="Times New Roman"/>
                <w:szCs w:val="21"/>
              </w:rPr>
              <m:t>×[log2</m:t>
            </m:r>
            <m:d>
              <m:dPr>
                <m:ctrlPr>
                  <w:rPr>
                    <w:rFonts w:ascii="Cambria Math" w:hAnsi="Cambria Math"/>
                    <w:szCs w:val="21"/>
                  </w:rPr>
                </m:ctrlPr>
              </m:dPr>
              <m:e>
                <m:r>
                  <m:rPr>
                    <m:nor/>
                    <m:sty m:val="p"/>
                  </m:rPr>
                  <w:rPr>
                    <w:rFonts w:ascii="Times New Roman"/>
                    <w:szCs w:val="21"/>
                  </w:rPr>
                  <m:t>CA</m:t>
                </m:r>
                <m:ctrlPr>
                  <w:rPr>
                    <w:rFonts w:ascii="Cambria Math" w:hAnsi="Cambria Math"/>
                    <w:szCs w:val="21"/>
                  </w:rPr>
                </m:ctrlPr>
              </m:e>
            </m:d>
            <m:r>
              <m:rPr>
                <m:nor/>
                <m:sty m:val="p"/>
              </m:rPr>
              <w:rPr>
                <w:rFonts w:ascii="Times New Roman"/>
                <w:szCs w:val="21"/>
              </w:rPr>
              <m:t>－log2</m:t>
            </m:r>
            <m:d>
              <m:dPr>
                <m:ctrlPr>
                  <w:rPr>
                    <w:rFonts w:ascii="Cambria Math" w:hAnsi="Cambria Math"/>
                    <w:szCs w:val="21"/>
                  </w:rPr>
                </m:ctrlPr>
              </m:dPr>
              <m:e>
                <m:r>
                  <m:rPr>
                    <m:nor/>
                    <m:sty m:val="p"/>
                  </m:rPr>
                  <w:rPr>
                    <w:rFonts w:ascii="Times New Roman"/>
                    <w:szCs w:val="21"/>
                  </w:rPr>
                  <m:t>CB</m:t>
                </m:r>
                <m:ctrlPr>
                  <w:rPr>
                    <w:rFonts w:ascii="Cambria Math" w:hAnsi="Cambria Math"/>
                    <w:szCs w:val="21"/>
                  </w:rPr>
                </m:ctrlPr>
              </m:e>
            </m:d>
            <m:r>
              <m:rPr>
                <m:nor/>
                <m:sty m:val="p"/>
              </m:rPr>
              <w:rPr>
                <w:rFonts w:ascii="Times New Roman"/>
                <w:szCs w:val="21"/>
              </w:rPr>
              <m:t>]</m:t>
            </m:r>
            <m:ctrlPr>
              <w:rPr>
                <w:rFonts w:ascii="Cambria Math" w:hAnsi="Cambria Math"/>
                <w:szCs w:val="21"/>
              </w:rPr>
            </m:ctrlPr>
          </m:num>
          <m:den>
            <m:r>
              <m:rPr>
                <m:nor/>
                <m:sty m:val="p"/>
              </m:rPr>
              <w:rPr>
                <w:rFonts w:ascii="Times New Roman"/>
                <w:szCs w:val="21"/>
              </w:rPr>
              <m:t>RFIA－RFIB</m:t>
            </m:r>
            <m:ctrlPr>
              <w:rPr>
                <w:rFonts w:ascii="Cambria Math" w:hAnsi="Cambria Math"/>
                <w:szCs w:val="21"/>
              </w:rPr>
            </m:ctrlPr>
          </m:den>
        </m:f>
      </m:oMath>
      <w:r>
        <w:rPr>
          <w:rFonts w:ascii="Times New Roman"/>
          <w:szCs w:val="21"/>
        </w:rPr>
        <w:t>]</w:t>
      </w:r>
    </w:p>
    <w:p>
      <w:pPr>
        <w:pStyle w:val="19"/>
        <w:spacing w:before="120" w:beforeLines="50" w:after="120" w:afterLines="50" w:line="300" w:lineRule="auto"/>
        <w:ind w:firstLine="420"/>
        <w:rPr>
          <w:rFonts w:ascii="Times New Roman"/>
          <w:szCs w:val="21"/>
        </w:rPr>
      </w:pPr>
      <w:r>
        <w:rPr>
          <w:rFonts w:ascii="Times New Roman"/>
          <w:szCs w:val="21"/>
        </w:rPr>
        <w:t>若所测浓度范围内RFI CD54均</w:t>
      </w:r>
      <w:r>
        <w:rPr>
          <w:rFonts w:hint="eastAsia" w:ascii="Times New Roman"/>
          <w:szCs w:val="21"/>
        </w:rPr>
        <w:t xml:space="preserve"> </w:t>
      </w:r>
      <w:r>
        <w:rPr>
          <w:rFonts w:ascii="Times New Roman"/>
          <w:szCs w:val="21"/>
        </w:rPr>
        <w:t>&gt; 200（CD54），选用如下公式计算EC200：</w:t>
      </w:r>
    </w:p>
    <w:p>
      <w:pPr>
        <w:pStyle w:val="19"/>
        <w:spacing w:line="300" w:lineRule="auto"/>
        <w:ind w:firstLine="420"/>
        <w:jc w:val="center"/>
        <w:rPr>
          <w:rFonts w:ascii="Times New Roman"/>
          <w:szCs w:val="21"/>
        </w:rPr>
      </w:pPr>
      <m:oMath>
        <m:r>
          <m:rPr>
            <m:nor/>
            <m:sty m:val="p"/>
          </m:rPr>
          <w:rPr>
            <w:rFonts w:ascii="Times New Roman"/>
            <w:szCs w:val="21"/>
          </w:rPr>
          <m:t>EC200=2^[log2(CB)+</m:t>
        </m:r>
        <m:f>
          <m:fPr>
            <m:ctrlPr>
              <w:rPr>
                <w:rFonts w:ascii="Cambria Math" w:hAnsi="Cambria Math"/>
                <w:szCs w:val="21"/>
              </w:rPr>
            </m:ctrlPr>
          </m:fPr>
          <m:num>
            <m:d>
              <m:dPr>
                <m:ctrlPr>
                  <w:rPr>
                    <w:rFonts w:ascii="Cambria Math" w:hAnsi="Cambria Math"/>
                    <w:szCs w:val="21"/>
                  </w:rPr>
                </m:ctrlPr>
              </m:dPr>
              <m:e>
                <m:r>
                  <m:rPr>
                    <m:nor/>
                    <m:sty m:val="p"/>
                  </m:rPr>
                  <w:rPr>
                    <w:rFonts w:ascii="Times New Roman"/>
                    <w:szCs w:val="21"/>
                  </w:rPr>
                  <m:t>200－RFIB</m:t>
                </m:r>
                <m:ctrlPr>
                  <w:rPr>
                    <w:rFonts w:ascii="Cambria Math" w:hAnsi="Cambria Math"/>
                    <w:szCs w:val="21"/>
                  </w:rPr>
                </m:ctrlPr>
              </m:e>
            </m:d>
            <m:r>
              <m:rPr>
                <m:nor/>
                <m:sty m:val="p"/>
              </m:rPr>
              <w:rPr>
                <w:rFonts w:ascii="Times New Roman"/>
                <w:szCs w:val="21"/>
              </w:rPr>
              <m:t>×[log2</m:t>
            </m:r>
            <m:d>
              <m:dPr>
                <m:ctrlPr>
                  <w:rPr>
                    <w:rFonts w:ascii="Cambria Math" w:hAnsi="Cambria Math"/>
                    <w:szCs w:val="21"/>
                  </w:rPr>
                </m:ctrlPr>
              </m:dPr>
              <m:e>
                <m:r>
                  <m:rPr>
                    <m:nor/>
                    <m:sty m:val="p"/>
                  </m:rPr>
                  <w:rPr>
                    <w:rFonts w:ascii="Times New Roman"/>
                    <w:szCs w:val="21"/>
                  </w:rPr>
                  <m:t>CA</m:t>
                </m:r>
                <m:ctrlPr>
                  <w:rPr>
                    <w:rFonts w:ascii="Cambria Math" w:hAnsi="Cambria Math"/>
                    <w:szCs w:val="21"/>
                  </w:rPr>
                </m:ctrlPr>
              </m:e>
            </m:d>
            <m:r>
              <m:rPr>
                <m:nor/>
                <m:sty m:val="p"/>
              </m:rPr>
              <w:rPr>
                <w:rFonts w:ascii="Times New Roman"/>
                <w:szCs w:val="21"/>
              </w:rPr>
              <m:t>－log2</m:t>
            </m:r>
            <m:d>
              <m:dPr>
                <m:ctrlPr>
                  <w:rPr>
                    <w:rFonts w:ascii="Cambria Math" w:hAnsi="Cambria Math"/>
                    <w:szCs w:val="21"/>
                  </w:rPr>
                </m:ctrlPr>
              </m:dPr>
              <m:e>
                <m:r>
                  <m:rPr>
                    <m:nor/>
                    <m:sty m:val="p"/>
                  </m:rPr>
                  <w:rPr>
                    <w:rFonts w:ascii="Times New Roman"/>
                    <w:szCs w:val="21"/>
                  </w:rPr>
                  <m:t>CB</m:t>
                </m:r>
                <m:ctrlPr>
                  <w:rPr>
                    <w:rFonts w:ascii="Cambria Math" w:hAnsi="Cambria Math"/>
                    <w:szCs w:val="21"/>
                  </w:rPr>
                </m:ctrlPr>
              </m:e>
            </m:d>
            <m:r>
              <m:rPr>
                <m:nor/>
                <m:sty m:val="p"/>
              </m:rPr>
              <w:rPr>
                <w:rFonts w:ascii="Times New Roman"/>
                <w:szCs w:val="21"/>
              </w:rPr>
              <m:t>]</m:t>
            </m:r>
            <m:ctrlPr>
              <w:rPr>
                <w:rFonts w:ascii="Cambria Math" w:hAnsi="Cambria Math"/>
                <w:szCs w:val="21"/>
              </w:rPr>
            </m:ctrlPr>
          </m:num>
          <m:den>
            <m:r>
              <m:rPr>
                <m:nor/>
                <m:sty m:val="p"/>
              </m:rPr>
              <w:rPr>
                <w:rFonts w:ascii="Times New Roman"/>
                <w:szCs w:val="21"/>
              </w:rPr>
              <m:t>RFIA－RFIB</m:t>
            </m:r>
            <m:ctrlPr>
              <w:rPr>
                <w:rFonts w:ascii="Cambria Math" w:hAnsi="Cambria Math"/>
                <w:szCs w:val="21"/>
              </w:rPr>
            </m:ctrlPr>
          </m:den>
        </m:f>
      </m:oMath>
      <w:r>
        <w:rPr>
          <w:rFonts w:ascii="Times New Roman"/>
          <w:szCs w:val="21"/>
        </w:rPr>
        <w:t>]</w:t>
      </w:r>
    </w:p>
    <w:p>
      <w:pPr>
        <w:pStyle w:val="19"/>
        <w:snapToGrid w:val="0"/>
        <w:spacing w:before="120" w:beforeLines="50" w:after="120" w:afterLines="50" w:line="300" w:lineRule="auto"/>
        <w:ind w:firstLine="420"/>
        <w:rPr>
          <w:rFonts w:ascii="Times New Roman"/>
          <w:szCs w:val="21"/>
        </w:rPr>
      </w:pPr>
      <w:r>
        <w:rPr>
          <w:rFonts w:ascii="Times New Roman"/>
          <w:szCs w:val="21"/>
        </w:rPr>
        <w:t>RFIB：RFI&gt; 150（EC150）或&gt; 200（EC200）的最低RFI值</w:t>
      </w:r>
    </w:p>
    <w:p>
      <w:pPr>
        <w:pStyle w:val="19"/>
        <w:snapToGrid w:val="0"/>
        <w:spacing w:before="120" w:beforeLines="50" w:after="120" w:afterLines="50" w:line="300" w:lineRule="auto"/>
        <w:ind w:firstLine="420"/>
        <w:rPr>
          <w:rFonts w:ascii="Times New Roman"/>
          <w:szCs w:val="21"/>
        </w:rPr>
      </w:pPr>
      <w:r>
        <w:rPr>
          <w:rFonts w:ascii="Times New Roman"/>
          <w:szCs w:val="21"/>
        </w:rPr>
        <w:t>RFIA：比RFIB大至少10的最低RFI值</w:t>
      </w:r>
    </w:p>
    <w:p>
      <w:pPr>
        <w:pStyle w:val="19"/>
        <w:snapToGrid w:val="0"/>
        <w:spacing w:before="120" w:beforeLines="50" w:after="120" w:afterLines="50" w:line="300" w:lineRule="auto"/>
        <w:ind w:firstLine="420"/>
        <w:rPr>
          <w:rFonts w:ascii="Times New Roman"/>
          <w:szCs w:val="21"/>
        </w:rPr>
      </w:pPr>
      <w:r>
        <w:rPr>
          <w:rFonts w:ascii="Times New Roman"/>
          <w:szCs w:val="21"/>
        </w:rPr>
        <w:t>CA（μg/mL）：RFIA对应的受试物浓度</w:t>
      </w:r>
    </w:p>
    <w:p>
      <w:pPr>
        <w:pStyle w:val="19"/>
        <w:snapToGrid w:val="0"/>
        <w:spacing w:before="120" w:beforeLines="50" w:after="120" w:afterLines="50" w:line="300" w:lineRule="auto"/>
        <w:ind w:firstLine="420"/>
        <w:rPr>
          <w:rFonts w:ascii="Times New Roman"/>
          <w:szCs w:val="21"/>
        </w:rPr>
      </w:pPr>
      <w:r>
        <w:rPr>
          <w:rFonts w:ascii="Times New Roman"/>
          <w:szCs w:val="21"/>
        </w:rPr>
        <w:t>CB（μg/mL）：RFIB对应的受试物浓度</w:t>
      </w:r>
    </w:p>
    <w:p>
      <w:pPr>
        <w:pStyle w:val="19"/>
        <w:snapToGrid w:val="0"/>
        <w:spacing w:before="120" w:beforeLines="50" w:after="120" w:afterLines="50" w:line="300" w:lineRule="auto"/>
        <w:ind w:firstLine="420"/>
        <w:rPr>
          <w:rFonts w:ascii="Times New Roman"/>
          <w:szCs w:val="21"/>
        </w:rPr>
      </w:pPr>
      <w:r>
        <w:rPr>
          <w:rFonts w:ascii="Times New Roman"/>
          <w:szCs w:val="21"/>
        </w:rPr>
        <w:t>三次独立平行试验中计算平均值，作为EC150和EC200的最终值；两次独立平行试验中选取较大的值作为EC150和EC200的最终值。</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6.3 </w:t>
      </w:r>
      <w:r>
        <w:rPr>
          <w:rFonts w:hint="eastAsia" w:ascii="Times New Roman"/>
          <w:szCs w:val="21"/>
        </w:rPr>
        <w:t xml:space="preserve"> </w:t>
      </w:r>
      <w:r>
        <w:rPr>
          <w:rFonts w:ascii="Times New Roman"/>
          <w:szCs w:val="21"/>
        </w:rPr>
        <w:t>试验成立条件</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6.3.1 </w:t>
      </w:r>
      <w:r>
        <w:rPr>
          <w:rFonts w:hint="eastAsia" w:ascii="Times New Roman"/>
          <w:szCs w:val="21"/>
        </w:rPr>
        <w:t xml:space="preserve"> </w:t>
      </w:r>
      <w:r>
        <w:rPr>
          <w:rFonts w:ascii="Times New Roman"/>
          <w:szCs w:val="21"/>
        </w:rPr>
        <w:t>溶剂对照的细胞存活率大于90%；溶剂对照的RFICD86、RFICD54均不可以达到阳性标准；</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6.3.2</w:t>
      </w:r>
      <w:r>
        <w:rPr>
          <w:rFonts w:hint="eastAsia" w:ascii="Times New Roman"/>
          <w:szCs w:val="21"/>
        </w:rPr>
        <w:t xml:space="preserve"> </w:t>
      </w:r>
      <w:r>
        <w:rPr>
          <w:rFonts w:ascii="Times New Roman"/>
          <w:szCs w:val="21"/>
        </w:rPr>
        <w:t xml:space="preserve"> 所有空白对照及溶剂对照的MFI值与其相对应的同型对照MFI值的比值应当大于105%；</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6.3.3 </w:t>
      </w:r>
      <w:r>
        <w:rPr>
          <w:rFonts w:hint="eastAsia" w:ascii="Times New Roman"/>
          <w:szCs w:val="21"/>
        </w:rPr>
        <w:t xml:space="preserve"> </w:t>
      </w:r>
      <w:r>
        <w:rPr>
          <w:rFonts w:ascii="Times New Roman"/>
          <w:szCs w:val="21"/>
        </w:rPr>
        <w:t>阳性对照需要满足RFICD86 ≥ 150且RFICD54≥200，同时所对应的细胞存活率大于50%；</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6.3.4 </w:t>
      </w:r>
      <w:r>
        <w:rPr>
          <w:rFonts w:hint="eastAsia" w:ascii="Times New Roman"/>
          <w:szCs w:val="21"/>
        </w:rPr>
        <w:t xml:space="preserve"> </w:t>
      </w:r>
      <w:r>
        <w:rPr>
          <w:rFonts w:ascii="Times New Roman"/>
          <w:szCs w:val="21"/>
        </w:rPr>
        <w:t>每次独立试验至少有一半以上的受试物浓度对应的细胞存活率大于50%，否则应重新测定CV75值；</w:t>
      </w:r>
    </w:p>
    <w:p>
      <w:pPr>
        <w:pStyle w:val="19"/>
        <w:snapToGrid w:val="0"/>
        <w:spacing w:before="120" w:beforeLines="50" w:after="120" w:afterLines="50" w:line="300" w:lineRule="auto"/>
        <w:ind w:firstLine="0" w:firstLineChars="0"/>
        <w:rPr>
          <w:rFonts w:ascii="Times New Roman"/>
          <w:szCs w:val="21"/>
        </w:rPr>
      </w:pPr>
      <w:r>
        <w:rPr>
          <w:rFonts w:ascii="Times New Roman"/>
          <w:szCs w:val="21"/>
        </w:rPr>
        <w:t xml:space="preserve">6.3.5 </w:t>
      </w:r>
      <w:r>
        <w:rPr>
          <w:rFonts w:hint="eastAsia" w:ascii="Times New Roman"/>
          <w:szCs w:val="21"/>
        </w:rPr>
        <w:t xml:space="preserve"> </w:t>
      </w:r>
      <w:r>
        <w:rPr>
          <w:rFonts w:ascii="Times New Roman"/>
          <w:szCs w:val="21"/>
        </w:rPr>
        <w:t>如果受试物出现阴性结果，受试物最高浓度值所对应的细胞存活率应低于90%。除非受试物最高浓度值已经为本试验可接受的最大浓度或该受试物能达到的最大溶解度，这种情况下即便最高受试物浓度对应的细胞存活率高于90%，仍然接受阴性结果。</w:t>
      </w:r>
    </w:p>
    <w:p>
      <w:pPr>
        <w:pStyle w:val="19"/>
        <w:snapToGrid w:val="0"/>
        <w:spacing w:before="120" w:beforeLines="50" w:after="120" w:afterLines="50" w:line="300" w:lineRule="auto"/>
        <w:ind w:firstLine="0" w:firstLineChars="0"/>
        <w:rPr>
          <w:rFonts w:ascii="Times New Roman" w:eastAsia="黑体"/>
          <w:bCs/>
          <w:szCs w:val="21"/>
        </w:rPr>
      </w:pPr>
      <w:r>
        <w:rPr>
          <w:rFonts w:ascii="Times New Roman" w:eastAsia="黑体"/>
          <w:bCs/>
          <w:szCs w:val="21"/>
        </w:rPr>
        <w:t xml:space="preserve">7  结果解释  </w:t>
      </w:r>
    </w:p>
    <w:p>
      <w:pPr>
        <w:pStyle w:val="28"/>
        <w:snapToGrid w:val="0"/>
        <w:spacing w:before="120" w:beforeLines="50" w:after="120" w:afterLines="50" w:line="300" w:lineRule="auto"/>
        <w:ind w:left="140"/>
        <w:rPr>
          <w:rFonts w:ascii="Times New Roman" w:hAnsi="Times New Roman" w:cs="Times New Roman"/>
          <w:szCs w:val="21"/>
        </w:rPr>
      </w:pPr>
      <w:r>
        <w:rPr>
          <w:rFonts w:ascii="Times New Roman" w:hAnsi="Times New Roman" w:cs="Times New Roman"/>
          <w:szCs w:val="21"/>
        </w:rPr>
        <w:t>本方法要求受试物具有可溶性，对正辛醇-水分配系数（LogKow）&gt; 3.5的化学品，易出现假阴性的结果，需采用其他试验进一步确证受试物的致敏性。由于缺乏机体代谢过程，本方法不适用于对前抗原（即需要通过酶活化的物质）和半抗原（即需要通过氧化活化的物质）物质的致敏性检测。本方法</w:t>
      </w:r>
      <w:r>
        <w:rPr>
          <w:rFonts w:ascii="Times New Roman" w:hAnsi="Times New Roman" w:eastAsia="宋体" w:cs="Times New Roman"/>
          <w:szCs w:val="21"/>
        </w:rPr>
        <w:t>模拟皮肤致敏有害结局路径（Adverse Outcome Pathway, AOP）的关键事件3：树突状细胞活化过程，可为体外皮肤变态反应的整合测试和评估方法（IATA）提供备选方法。</w:t>
      </w:r>
    </w:p>
    <w:p>
      <w:pPr>
        <w:pStyle w:val="19"/>
        <w:spacing w:line="300" w:lineRule="auto"/>
        <w:ind w:firstLine="420"/>
        <w:rPr>
          <w:rFonts w:ascii="Times New Roman"/>
          <w:szCs w:val="21"/>
        </w:rPr>
      </w:pPr>
    </w:p>
    <w:p>
      <w:pPr>
        <w:pStyle w:val="19"/>
        <w:spacing w:line="300" w:lineRule="auto"/>
        <w:ind w:firstLine="420"/>
        <w:rPr>
          <w:rFonts w:ascii="Times New Roman"/>
          <w:szCs w:val="21"/>
        </w:rPr>
      </w:pPr>
    </w:p>
    <w:p>
      <w:pPr>
        <w:pStyle w:val="19"/>
        <w:spacing w:line="300" w:lineRule="auto"/>
        <w:ind w:firstLine="420"/>
        <w:rPr>
          <w:rFonts w:ascii="Times New Roman"/>
          <w:szCs w:val="21"/>
        </w:rPr>
      </w:pPr>
    </w:p>
    <w:p>
      <w:pPr>
        <w:pStyle w:val="19"/>
        <w:spacing w:line="300" w:lineRule="auto"/>
        <w:ind w:firstLine="420"/>
        <w:rPr>
          <w:rFonts w:ascii="Times New Roman"/>
          <w:szCs w:val="21"/>
        </w:rPr>
      </w:pPr>
    </w:p>
    <w:p>
      <w:pPr>
        <w:pStyle w:val="19"/>
        <w:spacing w:line="300" w:lineRule="auto"/>
        <w:ind w:firstLine="420"/>
        <w:rPr>
          <w:rFonts w:ascii="Times New Roman"/>
          <w:szCs w:val="21"/>
        </w:rPr>
      </w:pPr>
    </w:p>
    <w:p>
      <w:pPr>
        <w:pStyle w:val="19"/>
        <w:spacing w:line="300" w:lineRule="auto"/>
        <w:ind w:firstLine="420"/>
        <w:rPr>
          <w:rFonts w:ascii="Times New Roman"/>
          <w:szCs w:val="21"/>
        </w:rPr>
      </w:pPr>
    </w:p>
    <w:p>
      <w:pPr>
        <w:pStyle w:val="19"/>
        <w:spacing w:line="300" w:lineRule="auto"/>
        <w:ind w:firstLine="420"/>
        <w:rPr>
          <w:rFonts w:ascii="Times New Roman"/>
          <w:szCs w:val="21"/>
        </w:rPr>
      </w:pPr>
    </w:p>
    <w:p>
      <w:pPr>
        <w:pStyle w:val="19"/>
        <w:spacing w:line="300" w:lineRule="auto"/>
        <w:ind w:firstLine="420"/>
        <w:rPr>
          <w:rFonts w:ascii="Times New Roman"/>
          <w:szCs w:val="21"/>
        </w:rPr>
      </w:pPr>
    </w:p>
    <w:p>
      <w:pPr>
        <w:pStyle w:val="19"/>
        <w:spacing w:line="300" w:lineRule="auto"/>
        <w:ind w:firstLine="0" w:firstLineChars="0"/>
        <w:rPr>
          <w:rFonts w:ascii="Times New Roman"/>
          <w:szCs w:val="21"/>
        </w:rPr>
      </w:pPr>
      <w:r>
        <w:rPr>
          <w:rFonts w:ascii="Times New Roman"/>
          <w:szCs w:val="21"/>
        </w:rPr>
        <w:t xml:space="preserve"> </w:t>
      </w:r>
    </w:p>
    <w:sectPr>
      <w:pgSz w:w="11906" w:h="16838"/>
      <w:pgMar w:top="1440" w:right="1803"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0000000000000000000"/>
    <w:charset w:val="00"/>
    <w:family w:val="swiss"/>
    <w:pitch w:val="default"/>
    <w:sig w:usb0="00000000" w:usb1="00000000" w:usb2="00000009" w:usb3="00000000" w:csb0="200001FF" w:csb1="00000000"/>
  </w:font>
  <w:font w:name="黑体">
    <w:panose1 w:val="02010609060101010101"/>
    <w:charset w:val="86"/>
    <w:family w:val="modern"/>
    <w:pitch w:val="default"/>
    <w:sig w:usb0="800002BF" w:usb1="38CF7CFA" w:usb2="00000016" w:usb3="00000000" w:csb0="00040001" w:csb1="00000000"/>
  </w:font>
  <w:font w:name="Microsoft YaHei UI">
    <w:altName w:val="仿宋"/>
    <w:panose1 w:val="00000000000000000000"/>
    <w:charset w:val="86"/>
    <w:family w:val="swiss"/>
    <w:pitch w:val="default"/>
    <w:sig w:usb0="00000000" w:usb1="00000000" w:usb2="00000016" w:usb3="00000000" w:csb0="0004001F" w:csb1="00000000"/>
  </w:font>
  <w:font w:name="Cambria Math">
    <w:altName w:val="Caladea"/>
    <w:panose1 w:val="02040503050406030204"/>
    <w:charset w:val="00"/>
    <w:family w:val="roman"/>
    <w:pitch w:val="default"/>
    <w:sig w:usb0="00000000" w:usb1="00000000" w:usb2="00000000" w:usb3="00000000" w:csb0="0000019F" w:csb1="00000000"/>
  </w:font>
  <w:font w:name="Caladea">
    <w:panose1 w:val="02040503050406030204"/>
    <w:charset w:val="00"/>
    <w:family w:val="auto"/>
    <w:pitch w:val="default"/>
    <w:sig w:usb0="00000007" w:usb1="00000000" w:usb2="00000000" w:usb3="00000000" w:csb0="20000093" w:csb1="00000000"/>
  </w:font>
  <w:font w:name="文泉驿正黑">
    <w:panose1 w:val="02000603000000000000"/>
    <w:charset w:val="86"/>
    <w:family w:val="auto"/>
    <w:pitch w:val="default"/>
    <w:sig w:usb0="900002BF" w:usb1="2BDF7DFB" w:usb2="00000036" w:usb3="00000000" w:csb0="603E000D" w:csb1="D2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DVlMDljN2VlZTI4MGMzOGM5NWRiZTg4Njk4MGYifQ=="/>
  </w:docVars>
  <w:rsids>
    <w:rsidRoot w:val="00D85FEA"/>
    <w:rsid w:val="00003FA1"/>
    <w:rsid w:val="00004F5B"/>
    <w:rsid w:val="00012592"/>
    <w:rsid w:val="000262CD"/>
    <w:rsid w:val="000310B8"/>
    <w:rsid w:val="00033701"/>
    <w:rsid w:val="00033A3A"/>
    <w:rsid w:val="00033F73"/>
    <w:rsid w:val="00034789"/>
    <w:rsid w:val="0003544A"/>
    <w:rsid w:val="0004130D"/>
    <w:rsid w:val="000442F7"/>
    <w:rsid w:val="000464BE"/>
    <w:rsid w:val="00046833"/>
    <w:rsid w:val="000468EC"/>
    <w:rsid w:val="00054806"/>
    <w:rsid w:val="0005740F"/>
    <w:rsid w:val="00065A0A"/>
    <w:rsid w:val="0006603E"/>
    <w:rsid w:val="00066833"/>
    <w:rsid w:val="00071450"/>
    <w:rsid w:val="0007363A"/>
    <w:rsid w:val="0007565F"/>
    <w:rsid w:val="000828FE"/>
    <w:rsid w:val="00085E9F"/>
    <w:rsid w:val="00086FEB"/>
    <w:rsid w:val="00090C67"/>
    <w:rsid w:val="0009197A"/>
    <w:rsid w:val="0009299D"/>
    <w:rsid w:val="00096B91"/>
    <w:rsid w:val="000B2D79"/>
    <w:rsid w:val="000B3041"/>
    <w:rsid w:val="000B3133"/>
    <w:rsid w:val="000B412D"/>
    <w:rsid w:val="000B694B"/>
    <w:rsid w:val="000B6B93"/>
    <w:rsid w:val="000D2D77"/>
    <w:rsid w:val="000D2F98"/>
    <w:rsid w:val="000D4099"/>
    <w:rsid w:val="000D5761"/>
    <w:rsid w:val="000D7488"/>
    <w:rsid w:val="000E065F"/>
    <w:rsid w:val="000E2269"/>
    <w:rsid w:val="000E262A"/>
    <w:rsid w:val="000F1B7C"/>
    <w:rsid w:val="000F20B8"/>
    <w:rsid w:val="000F27E2"/>
    <w:rsid w:val="000F3DC3"/>
    <w:rsid w:val="000F60DB"/>
    <w:rsid w:val="00101339"/>
    <w:rsid w:val="00104377"/>
    <w:rsid w:val="001054DA"/>
    <w:rsid w:val="001116A2"/>
    <w:rsid w:val="0011228C"/>
    <w:rsid w:val="001129D1"/>
    <w:rsid w:val="00114C2D"/>
    <w:rsid w:val="00115662"/>
    <w:rsid w:val="001170DB"/>
    <w:rsid w:val="00120A17"/>
    <w:rsid w:val="00121201"/>
    <w:rsid w:val="00121A70"/>
    <w:rsid w:val="00125FBC"/>
    <w:rsid w:val="00132271"/>
    <w:rsid w:val="001410C8"/>
    <w:rsid w:val="001451D0"/>
    <w:rsid w:val="0015774B"/>
    <w:rsid w:val="00163BD1"/>
    <w:rsid w:val="001645BB"/>
    <w:rsid w:val="001657A9"/>
    <w:rsid w:val="00165F32"/>
    <w:rsid w:val="00166592"/>
    <w:rsid w:val="00176FAF"/>
    <w:rsid w:val="00180E1D"/>
    <w:rsid w:val="0018160F"/>
    <w:rsid w:val="001866C9"/>
    <w:rsid w:val="001907EF"/>
    <w:rsid w:val="001912A7"/>
    <w:rsid w:val="00191A82"/>
    <w:rsid w:val="00193BAB"/>
    <w:rsid w:val="00195C1E"/>
    <w:rsid w:val="001971DA"/>
    <w:rsid w:val="00197E95"/>
    <w:rsid w:val="001A1481"/>
    <w:rsid w:val="001A2549"/>
    <w:rsid w:val="001A5B58"/>
    <w:rsid w:val="001A5F39"/>
    <w:rsid w:val="001B1E8E"/>
    <w:rsid w:val="001B5706"/>
    <w:rsid w:val="001C4AE6"/>
    <w:rsid w:val="001C7582"/>
    <w:rsid w:val="001D1D44"/>
    <w:rsid w:val="001D3D08"/>
    <w:rsid w:val="001D4EB4"/>
    <w:rsid w:val="001E04A1"/>
    <w:rsid w:val="001E30A4"/>
    <w:rsid w:val="001F0B4B"/>
    <w:rsid w:val="001F1751"/>
    <w:rsid w:val="001F200E"/>
    <w:rsid w:val="001F4912"/>
    <w:rsid w:val="001F4DE3"/>
    <w:rsid w:val="001F5555"/>
    <w:rsid w:val="001F78A5"/>
    <w:rsid w:val="002036DD"/>
    <w:rsid w:val="00204134"/>
    <w:rsid w:val="00204330"/>
    <w:rsid w:val="00213F9B"/>
    <w:rsid w:val="00214471"/>
    <w:rsid w:val="00216000"/>
    <w:rsid w:val="00217067"/>
    <w:rsid w:val="00220DDB"/>
    <w:rsid w:val="00221A83"/>
    <w:rsid w:val="00222585"/>
    <w:rsid w:val="0022528B"/>
    <w:rsid w:val="00230742"/>
    <w:rsid w:val="00233A8B"/>
    <w:rsid w:val="00234800"/>
    <w:rsid w:val="00235C6F"/>
    <w:rsid w:val="00236209"/>
    <w:rsid w:val="0023621B"/>
    <w:rsid w:val="00236B4E"/>
    <w:rsid w:val="00237497"/>
    <w:rsid w:val="0024031F"/>
    <w:rsid w:val="00240F26"/>
    <w:rsid w:val="002429F9"/>
    <w:rsid w:val="00245B66"/>
    <w:rsid w:val="00245BC2"/>
    <w:rsid w:val="00247A98"/>
    <w:rsid w:val="00250222"/>
    <w:rsid w:val="00255173"/>
    <w:rsid w:val="002552F3"/>
    <w:rsid w:val="00262707"/>
    <w:rsid w:val="00264A4F"/>
    <w:rsid w:val="00273CF8"/>
    <w:rsid w:val="00275A30"/>
    <w:rsid w:val="002776D4"/>
    <w:rsid w:val="00284A4F"/>
    <w:rsid w:val="0028791F"/>
    <w:rsid w:val="0029260D"/>
    <w:rsid w:val="002929F7"/>
    <w:rsid w:val="0029373A"/>
    <w:rsid w:val="0029419F"/>
    <w:rsid w:val="002948DE"/>
    <w:rsid w:val="0029534D"/>
    <w:rsid w:val="0029730C"/>
    <w:rsid w:val="0029746E"/>
    <w:rsid w:val="00297CBD"/>
    <w:rsid w:val="002A0B8E"/>
    <w:rsid w:val="002A2FB5"/>
    <w:rsid w:val="002A3640"/>
    <w:rsid w:val="002A6D86"/>
    <w:rsid w:val="002A7E0A"/>
    <w:rsid w:val="002B2CA4"/>
    <w:rsid w:val="002B35D4"/>
    <w:rsid w:val="002B3B3F"/>
    <w:rsid w:val="002B4979"/>
    <w:rsid w:val="002B5032"/>
    <w:rsid w:val="002B5353"/>
    <w:rsid w:val="002C006A"/>
    <w:rsid w:val="002C3F04"/>
    <w:rsid w:val="002D403D"/>
    <w:rsid w:val="002D560E"/>
    <w:rsid w:val="002E7AD6"/>
    <w:rsid w:val="002F1DA1"/>
    <w:rsid w:val="002F29F7"/>
    <w:rsid w:val="002F31C6"/>
    <w:rsid w:val="002F6409"/>
    <w:rsid w:val="00304114"/>
    <w:rsid w:val="00304D27"/>
    <w:rsid w:val="00311578"/>
    <w:rsid w:val="003120DB"/>
    <w:rsid w:val="00314F6A"/>
    <w:rsid w:val="00331E3C"/>
    <w:rsid w:val="00332EAA"/>
    <w:rsid w:val="00333F1A"/>
    <w:rsid w:val="00334864"/>
    <w:rsid w:val="00336129"/>
    <w:rsid w:val="003367DC"/>
    <w:rsid w:val="00340516"/>
    <w:rsid w:val="003408B4"/>
    <w:rsid w:val="003436E7"/>
    <w:rsid w:val="00343FB0"/>
    <w:rsid w:val="00346322"/>
    <w:rsid w:val="00354721"/>
    <w:rsid w:val="00355139"/>
    <w:rsid w:val="0035571D"/>
    <w:rsid w:val="00355A53"/>
    <w:rsid w:val="003565F2"/>
    <w:rsid w:val="00365DA6"/>
    <w:rsid w:val="00370474"/>
    <w:rsid w:val="00371198"/>
    <w:rsid w:val="00381C5F"/>
    <w:rsid w:val="003841AE"/>
    <w:rsid w:val="00384353"/>
    <w:rsid w:val="0038533C"/>
    <w:rsid w:val="003876FE"/>
    <w:rsid w:val="00391421"/>
    <w:rsid w:val="00391DEC"/>
    <w:rsid w:val="00392F34"/>
    <w:rsid w:val="00393B19"/>
    <w:rsid w:val="0039750F"/>
    <w:rsid w:val="00397854"/>
    <w:rsid w:val="003A3F3D"/>
    <w:rsid w:val="003A6E26"/>
    <w:rsid w:val="003A7BCA"/>
    <w:rsid w:val="003B0E9E"/>
    <w:rsid w:val="003B1CB6"/>
    <w:rsid w:val="003B2D36"/>
    <w:rsid w:val="003B346F"/>
    <w:rsid w:val="003B69AD"/>
    <w:rsid w:val="003C11C1"/>
    <w:rsid w:val="003C1630"/>
    <w:rsid w:val="003C17BF"/>
    <w:rsid w:val="003C5A65"/>
    <w:rsid w:val="003D4323"/>
    <w:rsid w:val="003E21E7"/>
    <w:rsid w:val="003E2CE3"/>
    <w:rsid w:val="003E33F1"/>
    <w:rsid w:val="003E6F60"/>
    <w:rsid w:val="003E7A8A"/>
    <w:rsid w:val="003F42C5"/>
    <w:rsid w:val="003F73FA"/>
    <w:rsid w:val="00404B8F"/>
    <w:rsid w:val="00404C81"/>
    <w:rsid w:val="004064A5"/>
    <w:rsid w:val="00410A3F"/>
    <w:rsid w:val="004110F1"/>
    <w:rsid w:val="00412A4F"/>
    <w:rsid w:val="00414F4B"/>
    <w:rsid w:val="00415108"/>
    <w:rsid w:val="00420678"/>
    <w:rsid w:val="00420D45"/>
    <w:rsid w:val="004259F6"/>
    <w:rsid w:val="0042621A"/>
    <w:rsid w:val="00431C5A"/>
    <w:rsid w:val="0043249D"/>
    <w:rsid w:val="00434CD5"/>
    <w:rsid w:val="0043508D"/>
    <w:rsid w:val="00442193"/>
    <w:rsid w:val="00451C08"/>
    <w:rsid w:val="00463CE8"/>
    <w:rsid w:val="00471C66"/>
    <w:rsid w:val="00472254"/>
    <w:rsid w:val="004772E0"/>
    <w:rsid w:val="004806FE"/>
    <w:rsid w:val="00483650"/>
    <w:rsid w:val="0048459B"/>
    <w:rsid w:val="00486CA3"/>
    <w:rsid w:val="00487DCC"/>
    <w:rsid w:val="004906A7"/>
    <w:rsid w:val="0049122B"/>
    <w:rsid w:val="004959BF"/>
    <w:rsid w:val="004A54B0"/>
    <w:rsid w:val="004B0B85"/>
    <w:rsid w:val="004B0DAD"/>
    <w:rsid w:val="004B3C55"/>
    <w:rsid w:val="004B4767"/>
    <w:rsid w:val="004B675B"/>
    <w:rsid w:val="004B69B3"/>
    <w:rsid w:val="004C099D"/>
    <w:rsid w:val="004C2FF5"/>
    <w:rsid w:val="004C70EB"/>
    <w:rsid w:val="004D19D2"/>
    <w:rsid w:val="004D33D8"/>
    <w:rsid w:val="004D3D62"/>
    <w:rsid w:val="004D5900"/>
    <w:rsid w:val="004D62D6"/>
    <w:rsid w:val="004E02A2"/>
    <w:rsid w:val="004E442E"/>
    <w:rsid w:val="004E50C4"/>
    <w:rsid w:val="004F15E0"/>
    <w:rsid w:val="004F4F7F"/>
    <w:rsid w:val="004F5989"/>
    <w:rsid w:val="004F79A5"/>
    <w:rsid w:val="004F7ED5"/>
    <w:rsid w:val="005004A1"/>
    <w:rsid w:val="00501FEA"/>
    <w:rsid w:val="00503E2F"/>
    <w:rsid w:val="00505A3F"/>
    <w:rsid w:val="00511AC7"/>
    <w:rsid w:val="00512C6A"/>
    <w:rsid w:val="00512C7B"/>
    <w:rsid w:val="00520A4E"/>
    <w:rsid w:val="00525CC9"/>
    <w:rsid w:val="005306C6"/>
    <w:rsid w:val="00531176"/>
    <w:rsid w:val="005332AB"/>
    <w:rsid w:val="00535A03"/>
    <w:rsid w:val="00536D60"/>
    <w:rsid w:val="00540013"/>
    <w:rsid w:val="00544400"/>
    <w:rsid w:val="00546B0A"/>
    <w:rsid w:val="0055063D"/>
    <w:rsid w:val="00560EE8"/>
    <w:rsid w:val="00562038"/>
    <w:rsid w:val="0056328B"/>
    <w:rsid w:val="00563992"/>
    <w:rsid w:val="00576A4C"/>
    <w:rsid w:val="00580440"/>
    <w:rsid w:val="00581B0B"/>
    <w:rsid w:val="0058690D"/>
    <w:rsid w:val="005931F1"/>
    <w:rsid w:val="00594A2A"/>
    <w:rsid w:val="00597F45"/>
    <w:rsid w:val="005A0288"/>
    <w:rsid w:val="005A4526"/>
    <w:rsid w:val="005A4CE3"/>
    <w:rsid w:val="005C0AF5"/>
    <w:rsid w:val="005C3762"/>
    <w:rsid w:val="005C4A0C"/>
    <w:rsid w:val="005D1285"/>
    <w:rsid w:val="005D4308"/>
    <w:rsid w:val="005D5EC0"/>
    <w:rsid w:val="005F2B09"/>
    <w:rsid w:val="005F4F76"/>
    <w:rsid w:val="005F573C"/>
    <w:rsid w:val="00601EA4"/>
    <w:rsid w:val="00603153"/>
    <w:rsid w:val="00603ACA"/>
    <w:rsid w:val="00603D07"/>
    <w:rsid w:val="00606408"/>
    <w:rsid w:val="00610936"/>
    <w:rsid w:val="00610A9B"/>
    <w:rsid w:val="006141AF"/>
    <w:rsid w:val="00615498"/>
    <w:rsid w:val="00621C65"/>
    <w:rsid w:val="00623D2F"/>
    <w:rsid w:val="00624D27"/>
    <w:rsid w:val="0062754E"/>
    <w:rsid w:val="00634747"/>
    <w:rsid w:val="00634F0F"/>
    <w:rsid w:val="00637A1B"/>
    <w:rsid w:val="00652A12"/>
    <w:rsid w:val="00653489"/>
    <w:rsid w:val="00654C51"/>
    <w:rsid w:val="00654CCF"/>
    <w:rsid w:val="00660685"/>
    <w:rsid w:val="00660D31"/>
    <w:rsid w:val="00663434"/>
    <w:rsid w:val="00667E50"/>
    <w:rsid w:val="00672670"/>
    <w:rsid w:val="00672C2C"/>
    <w:rsid w:val="00675A7D"/>
    <w:rsid w:val="00675EA1"/>
    <w:rsid w:val="00676CD4"/>
    <w:rsid w:val="0068116C"/>
    <w:rsid w:val="00693E10"/>
    <w:rsid w:val="006A0B0D"/>
    <w:rsid w:val="006A1738"/>
    <w:rsid w:val="006A1C49"/>
    <w:rsid w:val="006A2212"/>
    <w:rsid w:val="006A41AB"/>
    <w:rsid w:val="006A590D"/>
    <w:rsid w:val="006B0864"/>
    <w:rsid w:val="006B11A3"/>
    <w:rsid w:val="006B5603"/>
    <w:rsid w:val="006C320E"/>
    <w:rsid w:val="006C61E4"/>
    <w:rsid w:val="006D032E"/>
    <w:rsid w:val="006D07AB"/>
    <w:rsid w:val="006D7F48"/>
    <w:rsid w:val="006E3B19"/>
    <w:rsid w:val="006E581B"/>
    <w:rsid w:val="006F56FF"/>
    <w:rsid w:val="006F6B22"/>
    <w:rsid w:val="006F74C3"/>
    <w:rsid w:val="0070027D"/>
    <w:rsid w:val="00701811"/>
    <w:rsid w:val="00702484"/>
    <w:rsid w:val="00711DD5"/>
    <w:rsid w:val="00712B63"/>
    <w:rsid w:val="00720157"/>
    <w:rsid w:val="00720F11"/>
    <w:rsid w:val="00722EB8"/>
    <w:rsid w:val="00732B4E"/>
    <w:rsid w:val="007330BE"/>
    <w:rsid w:val="0073606A"/>
    <w:rsid w:val="00742725"/>
    <w:rsid w:val="00757569"/>
    <w:rsid w:val="00757747"/>
    <w:rsid w:val="0076041C"/>
    <w:rsid w:val="00760BED"/>
    <w:rsid w:val="00760FAD"/>
    <w:rsid w:val="007655C0"/>
    <w:rsid w:val="00773510"/>
    <w:rsid w:val="00773FDC"/>
    <w:rsid w:val="0077764F"/>
    <w:rsid w:val="00780066"/>
    <w:rsid w:val="007811C2"/>
    <w:rsid w:val="00782E8B"/>
    <w:rsid w:val="007840E2"/>
    <w:rsid w:val="007924B7"/>
    <w:rsid w:val="00792956"/>
    <w:rsid w:val="0079458B"/>
    <w:rsid w:val="007A3931"/>
    <w:rsid w:val="007A6775"/>
    <w:rsid w:val="007B20D1"/>
    <w:rsid w:val="007B37AD"/>
    <w:rsid w:val="007C0018"/>
    <w:rsid w:val="007C3123"/>
    <w:rsid w:val="007C32CF"/>
    <w:rsid w:val="007C5680"/>
    <w:rsid w:val="007C627A"/>
    <w:rsid w:val="007C79CD"/>
    <w:rsid w:val="007D115E"/>
    <w:rsid w:val="007E12E7"/>
    <w:rsid w:val="007E3850"/>
    <w:rsid w:val="007F3B10"/>
    <w:rsid w:val="007F4DA5"/>
    <w:rsid w:val="007F629C"/>
    <w:rsid w:val="007F77F1"/>
    <w:rsid w:val="007F7DE2"/>
    <w:rsid w:val="00800D40"/>
    <w:rsid w:val="00800E11"/>
    <w:rsid w:val="00807A77"/>
    <w:rsid w:val="008106EA"/>
    <w:rsid w:val="00817F3F"/>
    <w:rsid w:val="00822FB7"/>
    <w:rsid w:val="00827A46"/>
    <w:rsid w:val="0083052E"/>
    <w:rsid w:val="008305CF"/>
    <w:rsid w:val="0083206B"/>
    <w:rsid w:val="008328E5"/>
    <w:rsid w:val="0083372A"/>
    <w:rsid w:val="00836765"/>
    <w:rsid w:val="00844F84"/>
    <w:rsid w:val="008452C0"/>
    <w:rsid w:val="008513B6"/>
    <w:rsid w:val="008578E9"/>
    <w:rsid w:val="008638AB"/>
    <w:rsid w:val="00872DCC"/>
    <w:rsid w:val="0087484D"/>
    <w:rsid w:val="00882A55"/>
    <w:rsid w:val="00883623"/>
    <w:rsid w:val="00884E02"/>
    <w:rsid w:val="00885326"/>
    <w:rsid w:val="0088608D"/>
    <w:rsid w:val="00887DDA"/>
    <w:rsid w:val="00887F05"/>
    <w:rsid w:val="00892472"/>
    <w:rsid w:val="00894649"/>
    <w:rsid w:val="00897C20"/>
    <w:rsid w:val="008A3F4B"/>
    <w:rsid w:val="008A5104"/>
    <w:rsid w:val="008A72A7"/>
    <w:rsid w:val="008B325B"/>
    <w:rsid w:val="008B466E"/>
    <w:rsid w:val="008B55C9"/>
    <w:rsid w:val="008C0179"/>
    <w:rsid w:val="008C0FCC"/>
    <w:rsid w:val="008C3775"/>
    <w:rsid w:val="008E1D0E"/>
    <w:rsid w:val="008E267D"/>
    <w:rsid w:val="008E2E43"/>
    <w:rsid w:val="008E72CF"/>
    <w:rsid w:val="008F0B3E"/>
    <w:rsid w:val="008F235E"/>
    <w:rsid w:val="008F64EA"/>
    <w:rsid w:val="009078C5"/>
    <w:rsid w:val="009100C6"/>
    <w:rsid w:val="00913CC8"/>
    <w:rsid w:val="00915571"/>
    <w:rsid w:val="00917512"/>
    <w:rsid w:val="009175A9"/>
    <w:rsid w:val="00917FD0"/>
    <w:rsid w:val="00921FEA"/>
    <w:rsid w:val="0092729A"/>
    <w:rsid w:val="0093607A"/>
    <w:rsid w:val="00944839"/>
    <w:rsid w:val="00945D14"/>
    <w:rsid w:val="009500E8"/>
    <w:rsid w:val="00951DDA"/>
    <w:rsid w:val="0095517B"/>
    <w:rsid w:val="0096049D"/>
    <w:rsid w:val="009639E6"/>
    <w:rsid w:val="00964FD8"/>
    <w:rsid w:val="00966E56"/>
    <w:rsid w:val="00966F1A"/>
    <w:rsid w:val="00967450"/>
    <w:rsid w:val="0097181F"/>
    <w:rsid w:val="009723F0"/>
    <w:rsid w:val="00973F53"/>
    <w:rsid w:val="00977022"/>
    <w:rsid w:val="00980154"/>
    <w:rsid w:val="009806A8"/>
    <w:rsid w:val="00983E22"/>
    <w:rsid w:val="0098561E"/>
    <w:rsid w:val="009866BF"/>
    <w:rsid w:val="00991044"/>
    <w:rsid w:val="00991976"/>
    <w:rsid w:val="0099686E"/>
    <w:rsid w:val="0099737F"/>
    <w:rsid w:val="00997709"/>
    <w:rsid w:val="009A0565"/>
    <w:rsid w:val="009A39B8"/>
    <w:rsid w:val="009A6765"/>
    <w:rsid w:val="009B185F"/>
    <w:rsid w:val="009B22DA"/>
    <w:rsid w:val="009B2313"/>
    <w:rsid w:val="009B3F7C"/>
    <w:rsid w:val="009B407C"/>
    <w:rsid w:val="009C4532"/>
    <w:rsid w:val="009C55B0"/>
    <w:rsid w:val="009C5661"/>
    <w:rsid w:val="009D32E5"/>
    <w:rsid w:val="009D3477"/>
    <w:rsid w:val="009D4E43"/>
    <w:rsid w:val="009D68DA"/>
    <w:rsid w:val="009E4BA9"/>
    <w:rsid w:val="009E767D"/>
    <w:rsid w:val="009F0CF8"/>
    <w:rsid w:val="009F1DA8"/>
    <w:rsid w:val="009F3F17"/>
    <w:rsid w:val="009F76EB"/>
    <w:rsid w:val="009F7FD3"/>
    <w:rsid w:val="00A02708"/>
    <w:rsid w:val="00A03E7E"/>
    <w:rsid w:val="00A06216"/>
    <w:rsid w:val="00A0684A"/>
    <w:rsid w:val="00A14344"/>
    <w:rsid w:val="00A25DAA"/>
    <w:rsid w:val="00A2664A"/>
    <w:rsid w:val="00A30D92"/>
    <w:rsid w:val="00A31133"/>
    <w:rsid w:val="00A3439F"/>
    <w:rsid w:val="00A35272"/>
    <w:rsid w:val="00A37081"/>
    <w:rsid w:val="00A42F8F"/>
    <w:rsid w:val="00A43A71"/>
    <w:rsid w:val="00A45759"/>
    <w:rsid w:val="00A539D5"/>
    <w:rsid w:val="00A61723"/>
    <w:rsid w:val="00A62679"/>
    <w:rsid w:val="00A64EC2"/>
    <w:rsid w:val="00A65FD4"/>
    <w:rsid w:val="00A676C8"/>
    <w:rsid w:val="00A701A0"/>
    <w:rsid w:val="00A70476"/>
    <w:rsid w:val="00A71E17"/>
    <w:rsid w:val="00A73E23"/>
    <w:rsid w:val="00A73EA6"/>
    <w:rsid w:val="00A742A8"/>
    <w:rsid w:val="00A77691"/>
    <w:rsid w:val="00A86BF4"/>
    <w:rsid w:val="00A93A0D"/>
    <w:rsid w:val="00A94065"/>
    <w:rsid w:val="00AA07EA"/>
    <w:rsid w:val="00AA585E"/>
    <w:rsid w:val="00AA7CF1"/>
    <w:rsid w:val="00AB3C44"/>
    <w:rsid w:val="00AB544E"/>
    <w:rsid w:val="00AC3E39"/>
    <w:rsid w:val="00AD0E1E"/>
    <w:rsid w:val="00AD23E0"/>
    <w:rsid w:val="00AD582D"/>
    <w:rsid w:val="00AE1D42"/>
    <w:rsid w:val="00AE2A4E"/>
    <w:rsid w:val="00AE487C"/>
    <w:rsid w:val="00AE5BBE"/>
    <w:rsid w:val="00AE606A"/>
    <w:rsid w:val="00AF3BDB"/>
    <w:rsid w:val="00AF59D3"/>
    <w:rsid w:val="00B03D71"/>
    <w:rsid w:val="00B042B2"/>
    <w:rsid w:val="00B048D8"/>
    <w:rsid w:val="00B1012A"/>
    <w:rsid w:val="00B179FF"/>
    <w:rsid w:val="00B26174"/>
    <w:rsid w:val="00B265F6"/>
    <w:rsid w:val="00B27EAB"/>
    <w:rsid w:val="00B32954"/>
    <w:rsid w:val="00B32A5A"/>
    <w:rsid w:val="00B368C3"/>
    <w:rsid w:val="00B3739C"/>
    <w:rsid w:val="00B40CE3"/>
    <w:rsid w:val="00B41239"/>
    <w:rsid w:val="00B41EB7"/>
    <w:rsid w:val="00B43C55"/>
    <w:rsid w:val="00B527F0"/>
    <w:rsid w:val="00B543A6"/>
    <w:rsid w:val="00B56986"/>
    <w:rsid w:val="00B57C34"/>
    <w:rsid w:val="00B6056E"/>
    <w:rsid w:val="00B62BDC"/>
    <w:rsid w:val="00B6528C"/>
    <w:rsid w:val="00B7265B"/>
    <w:rsid w:val="00B77FE7"/>
    <w:rsid w:val="00B86684"/>
    <w:rsid w:val="00B91330"/>
    <w:rsid w:val="00B97308"/>
    <w:rsid w:val="00BA1751"/>
    <w:rsid w:val="00BA5954"/>
    <w:rsid w:val="00BA66A4"/>
    <w:rsid w:val="00BB19A8"/>
    <w:rsid w:val="00BB28BB"/>
    <w:rsid w:val="00BB299C"/>
    <w:rsid w:val="00BB31B4"/>
    <w:rsid w:val="00BB3909"/>
    <w:rsid w:val="00BC6307"/>
    <w:rsid w:val="00BC762E"/>
    <w:rsid w:val="00BC7F42"/>
    <w:rsid w:val="00BD34C3"/>
    <w:rsid w:val="00BE3689"/>
    <w:rsid w:val="00BF6FF7"/>
    <w:rsid w:val="00BF7E5A"/>
    <w:rsid w:val="00C0380F"/>
    <w:rsid w:val="00C063E5"/>
    <w:rsid w:val="00C10DDB"/>
    <w:rsid w:val="00C2129F"/>
    <w:rsid w:val="00C24641"/>
    <w:rsid w:val="00C2543E"/>
    <w:rsid w:val="00C27353"/>
    <w:rsid w:val="00C27A64"/>
    <w:rsid w:val="00C33E1B"/>
    <w:rsid w:val="00C35F98"/>
    <w:rsid w:val="00C418DE"/>
    <w:rsid w:val="00C4697C"/>
    <w:rsid w:val="00C5064D"/>
    <w:rsid w:val="00C57CFC"/>
    <w:rsid w:val="00C65299"/>
    <w:rsid w:val="00C66859"/>
    <w:rsid w:val="00C679FA"/>
    <w:rsid w:val="00C703D5"/>
    <w:rsid w:val="00C70F61"/>
    <w:rsid w:val="00C76FED"/>
    <w:rsid w:val="00C7750D"/>
    <w:rsid w:val="00C77F01"/>
    <w:rsid w:val="00C77F91"/>
    <w:rsid w:val="00C83ABB"/>
    <w:rsid w:val="00C840BD"/>
    <w:rsid w:val="00C849E8"/>
    <w:rsid w:val="00C85FE3"/>
    <w:rsid w:val="00C86318"/>
    <w:rsid w:val="00C86DAA"/>
    <w:rsid w:val="00C8799F"/>
    <w:rsid w:val="00C90A10"/>
    <w:rsid w:val="00C910C1"/>
    <w:rsid w:val="00C93755"/>
    <w:rsid w:val="00CA7722"/>
    <w:rsid w:val="00CB20E8"/>
    <w:rsid w:val="00CB238E"/>
    <w:rsid w:val="00CB2D9C"/>
    <w:rsid w:val="00CB3837"/>
    <w:rsid w:val="00CB7386"/>
    <w:rsid w:val="00CB7DC6"/>
    <w:rsid w:val="00CC59C1"/>
    <w:rsid w:val="00CC6955"/>
    <w:rsid w:val="00CC6EFD"/>
    <w:rsid w:val="00CE06F7"/>
    <w:rsid w:val="00CE5B15"/>
    <w:rsid w:val="00CE6BC0"/>
    <w:rsid w:val="00CE73C7"/>
    <w:rsid w:val="00CF164A"/>
    <w:rsid w:val="00CF67EB"/>
    <w:rsid w:val="00CF7DA6"/>
    <w:rsid w:val="00D051F4"/>
    <w:rsid w:val="00D11676"/>
    <w:rsid w:val="00D145C0"/>
    <w:rsid w:val="00D14FA4"/>
    <w:rsid w:val="00D15D38"/>
    <w:rsid w:val="00D17CA9"/>
    <w:rsid w:val="00D17EC8"/>
    <w:rsid w:val="00D21888"/>
    <w:rsid w:val="00D26321"/>
    <w:rsid w:val="00D26463"/>
    <w:rsid w:val="00D27D6C"/>
    <w:rsid w:val="00D30523"/>
    <w:rsid w:val="00D35E6F"/>
    <w:rsid w:val="00D42355"/>
    <w:rsid w:val="00D43384"/>
    <w:rsid w:val="00D43D15"/>
    <w:rsid w:val="00D4783B"/>
    <w:rsid w:val="00D52639"/>
    <w:rsid w:val="00D56A4D"/>
    <w:rsid w:val="00D56EE9"/>
    <w:rsid w:val="00D62134"/>
    <w:rsid w:val="00D63CF7"/>
    <w:rsid w:val="00D66BA7"/>
    <w:rsid w:val="00D67AC1"/>
    <w:rsid w:val="00D752F4"/>
    <w:rsid w:val="00D85FEA"/>
    <w:rsid w:val="00D97A26"/>
    <w:rsid w:val="00DA0F7D"/>
    <w:rsid w:val="00DA5C07"/>
    <w:rsid w:val="00DB03E9"/>
    <w:rsid w:val="00DB4C05"/>
    <w:rsid w:val="00DB4F3C"/>
    <w:rsid w:val="00DB5430"/>
    <w:rsid w:val="00DC0619"/>
    <w:rsid w:val="00DC1BD9"/>
    <w:rsid w:val="00DC2687"/>
    <w:rsid w:val="00DC4BC3"/>
    <w:rsid w:val="00DC666E"/>
    <w:rsid w:val="00DC7D09"/>
    <w:rsid w:val="00DD0998"/>
    <w:rsid w:val="00DD3167"/>
    <w:rsid w:val="00DD5E39"/>
    <w:rsid w:val="00DE0AB1"/>
    <w:rsid w:val="00DE19F0"/>
    <w:rsid w:val="00DF1107"/>
    <w:rsid w:val="00DF1B87"/>
    <w:rsid w:val="00DF237B"/>
    <w:rsid w:val="00DF44C1"/>
    <w:rsid w:val="00DF48BD"/>
    <w:rsid w:val="00DF48CA"/>
    <w:rsid w:val="00DF58FF"/>
    <w:rsid w:val="00E00265"/>
    <w:rsid w:val="00E02594"/>
    <w:rsid w:val="00E101C9"/>
    <w:rsid w:val="00E13932"/>
    <w:rsid w:val="00E13EA0"/>
    <w:rsid w:val="00E13F9D"/>
    <w:rsid w:val="00E1504C"/>
    <w:rsid w:val="00E1630E"/>
    <w:rsid w:val="00E16A4C"/>
    <w:rsid w:val="00E335DE"/>
    <w:rsid w:val="00E339FF"/>
    <w:rsid w:val="00E3722E"/>
    <w:rsid w:val="00E44AC5"/>
    <w:rsid w:val="00E47C70"/>
    <w:rsid w:val="00E53952"/>
    <w:rsid w:val="00E546CF"/>
    <w:rsid w:val="00E56B0F"/>
    <w:rsid w:val="00E62F1E"/>
    <w:rsid w:val="00E6518E"/>
    <w:rsid w:val="00E705D7"/>
    <w:rsid w:val="00E71C1B"/>
    <w:rsid w:val="00E74513"/>
    <w:rsid w:val="00E76016"/>
    <w:rsid w:val="00E95781"/>
    <w:rsid w:val="00E97876"/>
    <w:rsid w:val="00EA1B29"/>
    <w:rsid w:val="00EA5AD1"/>
    <w:rsid w:val="00EB2B8E"/>
    <w:rsid w:val="00EB5158"/>
    <w:rsid w:val="00EB742E"/>
    <w:rsid w:val="00EC0D22"/>
    <w:rsid w:val="00EC1223"/>
    <w:rsid w:val="00EC32F4"/>
    <w:rsid w:val="00ED5494"/>
    <w:rsid w:val="00ED65BF"/>
    <w:rsid w:val="00EE239A"/>
    <w:rsid w:val="00EE250C"/>
    <w:rsid w:val="00EF6761"/>
    <w:rsid w:val="00F02018"/>
    <w:rsid w:val="00F022DD"/>
    <w:rsid w:val="00F07074"/>
    <w:rsid w:val="00F11A69"/>
    <w:rsid w:val="00F139AD"/>
    <w:rsid w:val="00F15EE1"/>
    <w:rsid w:val="00F229BB"/>
    <w:rsid w:val="00F23510"/>
    <w:rsid w:val="00F2394F"/>
    <w:rsid w:val="00F247AE"/>
    <w:rsid w:val="00F252BB"/>
    <w:rsid w:val="00F30A79"/>
    <w:rsid w:val="00F32498"/>
    <w:rsid w:val="00F3561F"/>
    <w:rsid w:val="00F3772C"/>
    <w:rsid w:val="00F40693"/>
    <w:rsid w:val="00F42BCF"/>
    <w:rsid w:val="00F50F31"/>
    <w:rsid w:val="00F568D8"/>
    <w:rsid w:val="00F56B83"/>
    <w:rsid w:val="00F57F7A"/>
    <w:rsid w:val="00F631C9"/>
    <w:rsid w:val="00F6365B"/>
    <w:rsid w:val="00F806ED"/>
    <w:rsid w:val="00F823EC"/>
    <w:rsid w:val="00F8253F"/>
    <w:rsid w:val="00F84AF3"/>
    <w:rsid w:val="00F84CA5"/>
    <w:rsid w:val="00F87F45"/>
    <w:rsid w:val="00F90296"/>
    <w:rsid w:val="00F91E71"/>
    <w:rsid w:val="00F9445F"/>
    <w:rsid w:val="00F952FE"/>
    <w:rsid w:val="00F96E3F"/>
    <w:rsid w:val="00FA1F23"/>
    <w:rsid w:val="00FA3D71"/>
    <w:rsid w:val="00FA5B51"/>
    <w:rsid w:val="00FA71A9"/>
    <w:rsid w:val="00FB30A2"/>
    <w:rsid w:val="00FB4F4E"/>
    <w:rsid w:val="00FB6FD3"/>
    <w:rsid w:val="00FC7264"/>
    <w:rsid w:val="00FD041D"/>
    <w:rsid w:val="00FD12DE"/>
    <w:rsid w:val="00FD147A"/>
    <w:rsid w:val="00FD26F3"/>
    <w:rsid w:val="00FE043A"/>
    <w:rsid w:val="00FE132D"/>
    <w:rsid w:val="00FE14AB"/>
    <w:rsid w:val="00FE30E8"/>
    <w:rsid w:val="00FE3931"/>
    <w:rsid w:val="00FE4D19"/>
    <w:rsid w:val="00FE5313"/>
    <w:rsid w:val="00FE768C"/>
    <w:rsid w:val="00FE799C"/>
    <w:rsid w:val="00FF41D5"/>
    <w:rsid w:val="00FF55DD"/>
    <w:rsid w:val="014A1F5A"/>
    <w:rsid w:val="091B505B"/>
    <w:rsid w:val="135049F8"/>
    <w:rsid w:val="16633869"/>
    <w:rsid w:val="1931580E"/>
    <w:rsid w:val="1D90796E"/>
    <w:rsid w:val="1F713671"/>
    <w:rsid w:val="201478F8"/>
    <w:rsid w:val="22C8642C"/>
    <w:rsid w:val="232272BA"/>
    <w:rsid w:val="23F56DEA"/>
    <w:rsid w:val="273747C6"/>
    <w:rsid w:val="280C22E7"/>
    <w:rsid w:val="291476A5"/>
    <w:rsid w:val="299E2C42"/>
    <w:rsid w:val="2C6E2A0C"/>
    <w:rsid w:val="2E8546CD"/>
    <w:rsid w:val="2FA02756"/>
    <w:rsid w:val="323717DE"/>
    <w:rsid w:val="32AE2A8E"/>
    <w:rsid w:val="33AB6E58"/>
    <w:rsid w:val="33C10560"/>
    <w:rsid w:val="35847E6D"/>
    <w:rsid w:val="37490E61"/>
    <w:rsid w:val="37DD0A99"/>
    <w:rsid w:val="38692F75"/>
    <w:rsid w:val="39893736"/>
    <w:rsid w:val="3A8B353F"/>
    <w:rsid w:val="3C404599"/>
    <w:rsid w:val="49075C6E"/>
    <w:rsid w:val="4A0F1CC7"/>
    <w:rsid w:val="4B7A3887"/>
    <w:rsid w:val="53C75190"/>
    <w:rsid w:val="55F06B9F"/>
    <w:rsid w:val="57135845"/>
    <w:rsid w:val="57E83E10"/>
    <w:rsid w:val="57FB4698"/>
    <w:rsid w:val="602351F5"/>
    <w:rsid w:val="63F06490"/>
    <w:rsid w:val="652A03AD"/>
    <w:rsid w:val="6B594E10"/>
    <w:rsid w:val="6D9E2FAE"/>
    <w:rsid w:val="70421E2F"/>
    <w:rsid w:val="7BF54461"/>
    <w:rsid w:val="7E3A58D4"/>
    <w:rsid w:val="7F087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3"/>
    <w:semiHidden/>
    <w:unhideWhenUsed/>
    <w:qFormat/>
    <w:uiPriority w:val="99"/>
    <w:rPr>
      <w:b/>
      <w:bCs/>
    </w:rPr>
  </w:style>
  <w:style w:type="paragraph" w:styleId="6">
    <w:name w:val="annotation text"/>
    <w:basedOn w:val="1"/>
    <w:link w:val="22"/>
    <w:unhideWhenUsed/>
    <w:qFormat/>
    <w:uiPriority w:val="99"/>
    <w:pPr>
      <w:jc w:val="left"/>
    </w:pPr>
  </w:style>
  <w:style w:type="paragraph" w:styleId="7">
    <w:name w:val="Balloon Text"/>
    <w:basedOn w:val="1"/>
    <w:link w:val="21"/>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页眉 Char"/>
    <w:basedOn w:val="11"/>
    <w:link w:val="9"/>
    <w:qFormat/>
    <w:uiPriority w:val="99"/>
    <w:rPr>
      <w:sz w:val="18"/>
      <w:szCs w:val="18"/>
    </w:rPr>
  </w:style>
  <w:style w:type="character" w:customStyle="1" w:styleId="18">
    <w:name w:val="页脚 Char"/>
    <w:basedOn w:val="11"/>
    <w:link w:val="8"/>
    <w:qFormat/>
    <w:uiPriority w:val="99"/>
    <w:rPr>
      <w:sz w:val="18"/>
      <w:szCs w:val="18"/>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1">
    <w:name w:val="批注框文本 Char"/>
    <w:basedOn w:val="11"/>
    <w:link w:val="7"/>
    <w:semiHidden/>
    <w:qFormat/>
    <w:uiPriority w:val="99"/>
    <w:rPr>
      <w:kern w:val="2"/>
      <w:sz w:val="18"/>
      <w:szCs w:val="18"/>
    </w:rPr>
  </w:style>
  <w:style w:type="character" w:customStyle="1" w:styleId="22">
    <w:name w:val="批注文字 Char"/>
    <w:basedOn w:val="11"/>
    <w:link w:val="6"/>
    <w:qFormat/>
    <w:uiPriority w:val="99"/>
    <w:rPr>
      <w:kern w:val="2"/>
      <w:sz w:val="21"/>
      <w:szCs w:val="22"/>
    </w:rPr>
  </w:style>
  <w:style w:type="character" w:customStyle="1" w:styleId="23">
    <w:name w:val="批注主题 Char"/>
    <w:basedOn w:val="22"/>
    <w:link w:val="5"/>
    <w:semiHidden/>
    <w:qFormat/>
    <w:uiPriority w:val="99"/>
    <w:rPr>
      <w:b/>
      <w:bCs/>
      <w:kern w:val="2"/>
      <w:sz w:val="21"/>
      <w:szCs w:val="22"/>
    </w:rPr>
  </w:style>
  <w:style w:type="character" w:customStyle="1" w:styleId="24">
    <w:name w:val="标题 2 Char"/>
    <w:basedOn w:val="11"/>
    <w:link w:val="3"/>
    <w:semiHidden/>
    <w:qFormat/>
    <w:uiPriority w:val="9"/>
    <w:rPr>
      <w:rFonts w:asciiTheme="majorHAnsi" w:hAnsiTheme="majorHAnsi" w:eastAsiaTheme="majorEastAsia" w:cstheme="majorBidi"/>
      <w:b/>
      <w:bCs/>
      <w:kern w:val="2"/>
      <w:sz w:val="32"/>
      <w:szCs w:val="32"/>
    </w:rPr>
  </w:style>
  <w:style w:type="character" w:customStyle="1" w:styleId="25">
    <w:name w:val="viiyi"/>
    <w:basedOn w:val="11"/>
    <w:qFormat/>
    <w:uiPriority w:val="0"/>
  </w:style>
  <w:style w:type="character" w:customStyle="1" w:styleId="26">
    <w:name w:val="jlqj4b"/>
    <w:basedOn w:val="11"/>
    <w:qFormat/>
    <w:uiPriority w:val="0"/>
  </w:style>
  <w:style w:type="character" w:customStyle="1" w:styleId="27">
    <w:name w:val="标题 3 Char"/>
    <w:basedOn w:val="11"/>
    <w:link w:val="4"/>
    <w:semiHidden/>
    <w:qFormat/>
    <w:uiPriority w:val="9"/>
    <w:rPr>
      <w:b/>
      <w:bCs/>
      <w:kern w:val="2"/>
      <w:sz w:val="32"/>
      <w:szCs w:val="32"/>
    </w:rPr>
  </w:style>
  <w:style w:type="paragraph" w:styleId="28">
    <w:name w:val="List Paragraph"/>
    <w:basedOn w:val="1"/>
    <w:qFormat/>
    <w:uiPriority w:val="99"/>
    <w:pPr>
      <w:ind w:firstLine="420" w:firstLineChars="200"/>
    </w:p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cf01"/>
    <w:basedOn w:val="11"/>
    <w:qFormat/>
    <w:uiPriority w:val="0"/>
    <w:rPr>
      <w:rFonts w:hint="eastAsia" w:ascii="Microsoft YaHei UI" w:hAnsi="Microsoft YaHei UI" w:eastAsia="Microsoft YaHei UI"/>
      <w:sz w:val="18"/>
      <w:szCs w:val="18"/>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6</Pages>
  <Words>837</Words>
  <Characters>4777</Characters>
  <Lines>39</Lines>
  <Paragraphs>11</Paragraphs>
  <TotalTime>26</TotalTime>
  <ScaleCrop>false</ScaleCrop>
  <LinksUpToDate>false</LinksUpToDate>
  <CharactersWithSpaces>5603</CharactersWithSpaces>
  <Application>WPS Office_10.1.0.8016_F1E327BC-269C-435d-A152-05C5408002CA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2023-07-28T14:32:00Z</dcterms:created>
  <dc:creator>Administrator</dc:creator>
  <cp:lastModifiedBy>hj0niuj</cp:lastModifiedBy>
  <cp:lastPrinted>2018-02-05T10:40:00Z</cp:lastPrinted>
  <dcterms:modified xsi:type="dcterms:W3CDTF">2023-08-02T14:59:25Z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F2915717153A456B8526E86F9C2195D9_13</vt:lpwstr>
  </property>
</Properties>
</file>