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300" w:lineRule="auto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0</w:t>
      </w:r>
      <w:bookmarkStart w:id="6" w:name="_GoBack"/>
      <w:bookmarkEnd w:id="6"/>
    </w:p>
    <w:p>
      <w:pPr>
        <w:widowControl/>
        <w:adjustRightInd w:val="0"/>
        <w:snapToGrid w:val="0"/>
        <w:spacing w:before="120" w:beforeLines="50" w:after="120" w:afterLines="50" w:line="300" w:lineRule="auto"/>
        <w:jc w:val="center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体外皮肤变态反应 氨基酸衍生化反应试验方法</w:t>
      </w:r>
    </w:p>
    <w:p>
      <w:pPr>
        <w:widowControl/>
        <w:adjustRightInd w:val="0"/>
        <w:snapToGrid w:val="0"/>
        <w:spacing w:before="120" w:beforeLines="50" w:after="120" w:afterLines="50" w:line="300" w:lineRule="auto"/>
        <w:jc w:val="center"/>
        <w:rPr>
          <w:rFonts w:ascii="Times New Roman" w:hAnsi="Times New Roman" w:eastAsia="方正小标宋简体" w:cs="Times New Roman"/>
          <w:kern w:val="0"/>
          <w:szCs w:val="21"/>
        </w:rPr>
      </w:pPr>
      <w:r>
        <w:rPr>
          <w:rFonts w:ascii="Times New Roman" w:hAnsi="Times New Roman" w:eastAsia="方正小标宋简体" w:cs="Times New Roman"/>
          <w:kern w:val="0"/>
          <w:szCs w:val="21"/>
        </w:rPr>
        <w:t>In Chemico Skin Sensitisation: Amino acid Derivative Reactivity Assay (ADRA)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1  范围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本方法规定了氨基酸衍生化反应试验方法的基本要求和方法。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本方法适用于已知单一组分、</w:t>
      </w:r>
      <w:r>
        <w:rPr>
          <w:rFonts w:ascii="Times New Roman" w:eastAsiaTheme="minorEastAsia"/>
          <w:szCs w:val="21"/>
        </w:rPr>
        <w:t>已知组成成分的多组分</w:t>
      </w:r>
      <w:r>
        <w:rPr>
          <w:rFonts w:ascii="Times New Roman"/>
          <w:szCs w:val="21"/>
        </w:rPr>
        <w:t>化妆品用原料潜在致敏性的评价。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2  试验目的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预测和评价化妆品用化学原料是否具有潜在皮肤致敏性。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3  定义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3.1  氨基酸衍生物消耗百分比Percent Amino acid Derivative Depletion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与溶剂对照相比，受试物消耗氨基酸衍生物的程度。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3.2  共洗脱 Co-elution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受试物在281 nm处吸收显著，并与氨基酸衍生物保留时间相同或色谱峰部分重叠，干扰氨基酸衍生物定量分析。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4  试验原理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有致敏性的受试物与N-（2-（1-萘基）乙酰基）-L-半胱氨酸（NAC）和N-（2-（1-萘基）乙酰基）-L-赖氨酸（NAL）模拟的皮肤蛋白进行反应，消耗氨基酸衍生物。测定衍生物的量，计算氨基酸衍生物消耗百分比，从而判断受试物是否具有皮肤致敏性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5  试验材料与试剂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5.1  氨基酸衍生物片段与纯度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N-（2-（1-萘基）乙酰基）-L-半胱氨酸（NAC）：分子式C</w:t>
      </w:r>
      <w:r>
        <w:rPr>
          <w:rFonts w:ascii="Times New Roman"/>
          <w:szCs w:val="21"/>
          <w:vertAlign w:val="subscript"/>
        </w:rPr>
        <w:t>15</w:t>
      </w:r>
      <w:r>
        <w:rPr>
          <w:rFonts w:ascii="Times New Roman"/>
          <w:szCs w:val="21"/>
        </w:rPr>
        <w:t>H</w:t>
      </w:r>
      <w:r>
        <w:rPr>
          <w:rFonts w:ascii="Times New Roman"/>
          <w:szCs w:val="21"/>
          <w:vertAlign w:val="subscript"/>
        </w:rPr>
        <w:t>15</w:t>
      </w:r>
      <w:r>
        <w:rPr>
          <w:rFonts w:ascii="Times New Roman"/>
          <w:szCs w:val="21"/>
        </w:rPr>
        <w:t>NO</w:t>
      </w:r>
      <w:r>
        <w:rPr>
          <w:rFonts w:ascii="Times New Roman"/>
          <w:szCs w:val="21"/>
          <w:vertAlign w:val="subscript"/>
        </w:rPr>
        <w:t>3</w:t>
      </w:r>
      <w:r>
        <w:rPr>
          <w:rFonts w:ascii="Times New Roman"/>
          <w:szCs w:val="21"/>
        </w:rPr>
        <w:t>S，分子量289.35，纯度：＞98%。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N-（2-（1-萘基）乙酰基）-L-赖氨酸（NAL）：分子式C</w:t>
      </w:r>
      <w:r>
        <w:rPr>
          <w:rFonts w:ascii="Times New Roman"/>
          <w:szCs w:val="21"/>
          <w:vertAlign w:val="subscript"/>
        </w:rPr>
        <w:t>18</w:t>
      </w:r>
      <w:r>
        <w:rPr>
          <w:rFonts w:ascii="Times New Roman"/>
          <w:szCs w:val="21"/>
        </w:rPr>
        <w:t>H</w:t>
      </w:r>
      <w:r>
        <w:rPr>
          <w:rFonts w:ascii="Times New Roman"/>
          <w:szCs w:val="21"/>
          <w:vertAlign w:val="subscript"/>
        </w:rPr>
        <w:t>22</w:t>
      </w:r>
      <w:r>
        <w:rPr>
          <w:rFonts w:ascii="Times New Roman"/>
          <w:szCs w:val="21"/>
        </w:rPr>
        <w:t>N</w:t>
      </w:r>
      <w:r>
        <w:rPr>
          <w:rFonts w:ascii="Times New Roman"/>
          <w:szCs w:val="21"/>
          <w:vertAlign w:val="subscript"/>
        </w:rPr>
        <w:t>2</w:t>
      </w:r>
      <w:r>
        <w:rPr>
          <w:rFonts w:ascii="Times New Roman"/>
          <w:szCs w:val="21"/>
        </w:rPr>
        <w:t>O</w:t>
      </w:r>
      <w:r>
        <w:rPr>
          <w:rFonts w:ascii="Times New Roman"/>
          <w:szCs w:val="21"/>
          <w:vertAlign w:val="subscript"/>
        </w:rPr>
        <w:t>3</w:t>
      </w:r>
      <w:r>
        <w:rPr>
          <w:rFonts w:ascii="Times New Roman"/>
          <w:szCs w:val="21"/>
        </w:rPr>
        <w:t>，分子量314.38，纯度范围：＞98%。</w:t>
      </w:r>
    </w:p>
    <w:p>
      <w:pPr>
        <w:spacing w:before="120" w:beforeLines="50" w:after="120" w:afterLines="50" w:line="300" w:lineRule="auto"/>
        <w:ind w:firstLine="1050" w:firstLineChars="5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1631315" cy="1079500"/>
            <wp:effectExtent l="0" t="0" r="6985" b="444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l="10863" r="12535" b="40706"/>
                    <a:stretch>
                      <a:fillRect/>
                    </a:stretch>
                  </pic:blipFill>
                  <pic:spPr>
                    <a:xfrm>
                      <a:off x="0" y="0"/>
                      <a:ext cx="163186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2338705" cy="107950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63" t="3409" r="3456" b="42338"/>
                    <a:stretch>
                      <a:fillRect/>
                    </a:stretch>
                  </pic:blipFill>
                  <pic:spPr>
                    <a:xfrm>
                      <a:off x="0" y="0"/>
                      <a:ext cx="233897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20" w:beforeLines="50" w:after="120" w:afterLines="50" w:line="300" w:lineRule="auto"/>
        <w:ind w:firstLine="840" w:firstLineChars="400"/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图1  NAC（左）和NAL（右）的结构式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5.2  阳性对照与受试物的配制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阳性对照溶液：取苯乙醛适量（纯度＞90%），加乙腈制成1 mmol/L的溶液，临用新制。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受试物溶液：溶剂选用蒸馏水、乙腈和丙酮，单一或混合使用制成1 mmol/L的溶液，临用新制。如出现溶解不完全的情况，可将受试物先溶解在二甲基亚砜（DMSO）中，然后用乙腈稀释该溶液制备成1 mmol/L受试化合物溶液。最终溶液中DMSO用量不得超过5%（V/V）。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反应固定液：1 mL三氟乙酸（TFA）加40 mL水于5 mL离心管中，得到2.5% TFA水溶液。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5.3  氨基酸衍生物贮备液的配制</w:t>
      </w:r>
    </w:p>
    <w:p>
      <w:pPr>
        <w:pStyle w:val="13"/>
        <w:snapToGrid w:val="0"/>
        <w:spacing w:before="120" w:beforeLines="50" w:after="120" w:afterLines="50" w:line="300" w:lineRule="auto"/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5.3.1  N-（2-（1-萘基）乙酰基）-L-半胱氨酸（NAC）贮备液：称取适量NAC，用pH 8.0的磷酸盐缓冲液配制成6.667 μmol/L的溶液。储备液应在-80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℃下冷冻保存，存放时间不超过六个月，每次使用应验证其稳定性。</w:t>
      </w:r>
    </w:p>
    <w:p>
      <w:pPr>
        <w:snapToGrid w:val="0"/>
        <w:spacing w:before="120" w:beforeLines="50" w:after="120" w:afterLines="50"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bookmarkStart w:id="0" w:name="OLE_LINK3"/>
      <w:bookmarkStart w:id="1" w:name="OLE_LINK4"/>
      <w:r>
        <w:rPr>
          <w:rFonts w:ascii="Times New Roman" w:hAnsi="Times New Roman" w:eastAsia="宋体" w:cs="Times New Roman"/>
          <w:szCs w:val="21"/>
        </w:rPr>
        <w:t>pH8.0磷酸盐缓冲液</w:t>
      </w:r>
      <w:bookmarkEnd w:id="0"/>
      <w:bookmarkEnd w:id="1"/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取0.18 g无水磷酸氢二钠与4.02 g无水磷酸二氢钠溶于300 mL蒸馏水当中，每300 mL缓冲液加入1 mL的0.1 mmol/L EDTA溶液，混合均匀，测终溶液pH在7.9-8.1之间，配制完成，每次使用前检查pH。</w:t>
      </w:r>
    </w:p>
    <w:p>
      <w:pPr>
        <w:pStyle w:val="13"/>
        <w:snapToGrid w:val="0"/>
        <w:spacing w:before="120" w:beforeLines="50" w:after="120" w:afterLines="50" w:line="300" w:lineRule="auto"/>
        <w:ind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5.3.2  N-（2-（1-萘基）乙酰基）-L-赖氨酸（NAL）储备液：称取适量NAL，用pH10.2的磷酸盐缓冲液配制6.667 μmol/L的溶液。储备液应在-80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℃下冷冻保存，存放时间不超过六个月，每次使用应验证其稳定性。</w:t>
      </w:r>
    </w:p>
    <w:p>
      <w:pPr>
        <w:pStyle w:val="13"/>
        <w:snapToGrid w:val="0"/>
        <w:spacing w:before="120" w:beforeLines="50" w:after="120" w:afterLines="50" w:line="30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pH10.2磷酸盐缓冲液：取4.26 g无水磷酸二氢钠溶于286 mL蒸馏水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加入14 mL 0.1 mol/L NaOH溶液，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每300 mL缓冲液加入1 mL的0.1 mmol/L EDTA溶液。</w:t>
      </w:r>
      <w:r>
        <w:rPr>
          <w:rFonts w:ascii="Times New Roman" w:hAnsi="Times New Roman" w:eastAsia="宋体" w:cs="Times New Roman"/>
          <w:szCs w:val="21"/>
        </w:rPr>
        <w:t>搅拌均匀，测终溶液pH在10.1-10.3之间，配制完成，每次使用前检查pH。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5.3.3  氨基酸衍生物标准线性溶液的配制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NAC</w:t>
      </w:r>
      <w:r>
        <w:rPr>
          <w:rFonts w:ascii="Times New Roman"/>
          <w:szCs w:val="21"/>
        </w:rPr>
        <w:t>标准线性</w:t>
      </w:r>
      <w:r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溶液的稀释溶剂：取15 mL pH8.0磷酸盐缓冲液于50 mL离心管，加1 mL水、100 μL三氟乙酸、3.9 mL乙腈，振荡混匀，临用新制。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NAL</w:t>
      </w:r>
      <w:r>
        <w:rPr>
          <w:rFonts w:ascii="Times New Roman"/>
          <w:szCs w:val="21"/>
        </w:rPr>
        <w:t>标准线性</w:t>
      </w:r>
      <w:r>
        <w:rPr>
          <w:rFonts w:asci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溶液的稀释溶剂：取15 mL pH10.2磷酸盐缓冲液于50 mL离心管，加1 mL水、100 μL三氟乙酸、3.9 mL乙腈，振荡混匀，临用新制。</w:t>
      </w:r>
    </w:p>
    <w:p>
      <w:pPr>
        <w:snapToGrid w:val="0"/>
        <w:spacing w:before="120" w:beforeLines="50" w:after="120" w:afterLines="50" w:line="30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先配制5 μmol/L的标准溶液（std7）：300μL 6.667 μmol/L NAC储备液加入1.5 mL离心管中，加入20 μL水、2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μL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三氟乙酸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、78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μL乙腈。</w:t>
      </w:r>
    </w:p>
    <w:p>
      <w:pPr>
        <w:snapToGrid w:val="0"/>
        <w:spacing w:before="120" w:beforeLines="50" w:after="120" w:afterLines="50" w:line="300" w:lineRule="auto"/>
        <w:rPr>
          <w:rFonts w:ascii="Times New Roman" w:hAnsi="Times New Roman" w:eastAsia="宋体" w:cs="Times New Roman"/>
          <w:color w:val="FF0000"/>
          <w:kern w:val="0"/>
          <w:szCs w:val="21"/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标准线性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溶液：取std7溶液，逐步稀释到下表浓度。std1为稀释溶剂。NAL线性溶液操作步骤与NAC一致。</w:t>
      </w:r>
    </w:p>
    <w:p>
      <w:pPr>
        <w:snapToGrid w:val="0"/>
        <w:spacing w:before="120" w:beforeLines="50" w:after="120" w:afterLines="50" w:line="300" w:lineRule="auto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表1  线性点的摩尔浓度</w:t>
      </w:r>
    </w:p>
    <w:tbl>
      <w:tblPr>
        <w:tblStyle w:val="8"/>
        <w:tblW w:w="889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7"/>
        <w:gridCol w:w="1113"/>
        <w:gridCol w:w="1113"/>
        <w:gridCol w:w="1113"/>
        <w:gridCol w:w="1213"/>
        <w:gridCol w:w="1010"/>
        <w:gridCol w:w="11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Std1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Std2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Std3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Std4</w:t>
            </w: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Std5</w:t>
            </w:r>
          </w:p>
        </w:tc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Std6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Std7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浓度μmol/L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0.000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0.15625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0.3125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1.250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2.500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5.000</w:t>
            </w:r>
          </w:p>
        </w:tc>
      </w:tr>
    </w:tbl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5.3.4  液相待测溶液的配制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共洗脱对照：150 μL磷酸盐缓冲液+50 μL受试物溶液。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参比溶液A和B：150 μL NAC+50 μL 乙腈，平行样A三份B六份。NAL的操作步骤一致。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参比溶液C：150 μL NAC+50 μL溶解受试物的溶剂，平行三份。若用混合溶剂，则需要制备每种溶剂的参比溶液C；如用乙腈和水混合溶液溶解的，则需要配制三份NAC的水溶液，三份NAC的乙腈溶液。NAL的操作步骤一致。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color w:val="FF0000"/>
          <w:szCs w:val="21"/>
        </w:rPr>
      </w:pPr>
      <w:r>
        <w:rPr>
          <w:rFonts w:ascii="Times New Roman"/>
          <w:szCs w:val="21"/>
        </w:rPr>
        <w:t>阳性对照溶液制备：150 μL NAC+50 μL阳性对照（苯乙醛乙腈）溶液，三份平行样。NAL的操作步骤一致。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color w:val="FF0000"/>
          <w:szCs w:val="21"/>
        </w:rPr>
      </w:pPr>
      <w:r>
        <w:rPr>
          <w:rFonts w:ascii="Times New Roman"/>
          <w:szCs w:val="21"/>
        </w:rPr>
        <w:t>供试品溶液制备：150 μL NAC+50 μL测试化学品溶液，三份平行样。NAL操作步骤一致。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6  试验步骤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 w:eastAsia="仿宋_GB2312"/>
          <w:szCs w:val="21"/>
        </w:rPr>
        <w:t xml:space="preserve">6.1  </w:t>
      </w:r>
      <w:r>
        <w:rPr>
          <w:rFonts w:ascii="Times New Roman"/>
          <w:szCs w:val="21"/>
        </w:rPr>
        <w:t>操作步骤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>按进样顺序排列，5.3.4项下所有对照与测试样品均避光25±1 ℃反应24±1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h，结束后30 min内加入反应固定液50 μL，观察反应前后是否产生沉淀。（如果反应前产生沉淀，阳性结果可用，阴性不可用；反应后产生沉淀，过滤后再进样。）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6.2  液相色谱条件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6.2.1  流动相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流动相A：0.1%三氟乙酸水溶液（V/V），1 mL三氟乙酸+1000 mL水，混匀既得；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流动相B：0.1%三氟乙酸乙腈溶液（V/V），1 mL三氟乙酸+1000 mL乙腈，混匀既得。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6.2.2  色谱柱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十八烷基硅烷键合硅胶色谱柱</w:t>
      </w:r>
      <w:r>
        <w:rPr>
          <w:rFonts w:hint="eastAsia" w:ascii="Times New Roman"/>
          <w:szCs w:val="21"/>
        </w:rPr>
        <w:t>（</w:t>
      </w:r>
      <w:r>
        <w:rPr>
          <w:rFonts w:ascii="Times New Roman"/>
          <w:szCs w:val="21"/>
        </w:rPr>
        <w:t>3.0 mm×150 mm</w:t>
      </w:r>
      <w:r>
        <w:rPr>
          <w:rFonts w:hint="eastAsia" w:ascii="Times New Roman"/>
          <w:szCs w:val="21"/>
        </w:rPr>
        <w:t>，</w:t>
      </w:r>
      <w:r>
        <w:rPr>
          <w:rFonts w:ascii="Times New Roman"/>
          <w:szCs w:val="21"/>
        </w:rPr>
        <w:t>2.7 µm</w:t>
      </w:r>
      <w:r>
        <w:rPr>
          <w:rFonts w:hint="eastAsia" w:ascii="Times New Roman"/>
          <w:szCs w:val="21"/>
        </w:rPr>
        <w:t>）</w:t>
      </w:r>
      <w:r>
        <w:rPr>
          <w:rFonts w:ascii="Times New Roman"/>
          <w:szCs w:val="21"/>
        </w:rPr>
        <w:t>或等效色谱柱。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6.2.3  检测器及检测波长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紫外吸收光谱检测器，检测波长为281 nm，流速0.3 mL/min。</w:t>
      </w:r>
    </w:p>
    <w:p>
      <w:pPr>
        <w:pStyle w:val="9"/>
        <w:adjustRightInd w:val="0"/>
        <w:snapToGrid w:val="0"/>
        <w:spacing w:before="50" w:after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NAC/NAL流动相梯度洗脱程序（可依据实际情况调整）：</w:t>
      </w:r>
    </w:p>
    <w:tbl>
      <w:tblPr>
        <w:tblStyle w:val="7"/>
        <w:tblW w:w="83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337"/>
        <w:gridCol w:w="1455"/>
        <w:gridCol w:w="1292"/>
        <w:gridCol w:w="1361"/>
        <w:gridCol w:w="14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46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NAC</w:t>
            </w:r>
          </w:p>
        </w:tc>
        <w:tc>
          <w:tcPr>
            <w:tcW w:w="406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NAL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时间（min）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流动相A（%）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流动相B（%）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时间（min）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流动相A（%）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流动相B（%）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5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70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30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80</w:t>
            </w:r>
          </w:p>
        </w:tc>
        <w:tc>
          <w:tcPr>
            <w:tcW w:w="14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9.5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55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9.5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55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13.5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70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30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13.5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70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30</w:t>
            </w:r>
          </w:p>
        </w:tc>
        <w:tc>
          <w:tcPr>
            <w:tcW w:w="129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20</w:t>
            </w:r>
          </w:p>
        </w:tc>
      </w:tr>
    </w:tbl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7  数据处理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氨基酸衍生物消耗百分比计算公式：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 w:eastAsia="宋体" w:cs="Times New Roman"/>
              <w:szCs w:val="21"/>
            </w:rPr>
            <m:t>氨基酸衍生物消耗百分比=</m:t>
          </m:r>
          <m:d>
            <m:dPr>
              <m:begChr m:val="（"/>
              <m:endChr m:val="）"/>
              <m:ctrlPr>
                <w:rPr>
                  <w:rFonts w:ascii="Cambria Math" w:hAnsi="Cambria Math" w:eastAsia="宋体" w:cs="Times New Roman"/>
                  <w:szCs w:val="2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1-</m:t>
              </m:r>
              <m:f>
                <m:fP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样品氨基酸衍生物峰面积均值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溶剂对照氨基酸衍生物峰面积均值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den>
              </m:f>
              <m:ctrlPr>
                <w:rPr>
                  <w:rFonts w:ascii="Cambria Math" w:hAnsi="Cambria Math" w:eastAsia="宋体" w:cs="Times New Roman"/>
                  <w:szCs w:val="21"/>
                </w:rPr>
              </m:ctrlPr>
            </m:e>
          </m:d>
          <m:r>
            <m:rPr>
              <m:sty m:val="p"/>
            </m:rPr>
            <w:rPr>
              <w:rFonts w:ascii="Cambria Math" w:hAnsi="Cambria Math" w:eastAsia="宋体" w:cs="Times New Roman"/>
              <w:szCs w:val="21"/>
            </w:rPr>
            <m:t>×100</m:t>
          </m:r>
        </m:oMath>
      </m:oMathPara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注：当氨基酸衍生物消耗值计算为负时，视为</w:t>
      </w:r>
      <w:r>
        <w:rPr>
          <w:rFonts w:hint="eastAsia" w:ascii="Times New Roman" w:hAnsi="Times New Roman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值。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  <w:highlight w:val="yellow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8  试验成立条件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>符合以下条件，试验条件有效：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8.1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标准曲线：r</w:t>
      </w:r>
      <w:r>
        <w:rPr>
          <w:rFonts w:ascii="Times New Roman"/>
          <w:szCs w:val="21"/>
          <w:vertAlign w:val="superscript"/>
        </w:rPr>
        <w:t xml:space="preserve">2 </w:t>
      </w:r>
      <w:r>
        <w:rPr>
          <w:rFonts w:ascii="Times New Roman"/>
          <w:szCs w:val="21"/>
        </w:rPr>
        <w:t>&gt; 0.990。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8.2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阳性对照平均氨基酸衍生物消耗百分比：NAC</w:t>
      </w:r>
      <w:r>
        <w:rPr>
          <w:rFonts w:hint="eastAsia" w:ascii="Times New Roman"/>
          <w:szCs w:val="21"/>
        </w:rPr>
        <w:t>：</w:t>
      </w:r>
      <w:r>
        <w:rPr>
          <w:rFonts w:ascii="Times New Roman"/>
          <w:szCs w:val="21"/>
        </w:rPr>
        <w:t>6%～30%，SD（百分数表示，下同）</w:t>
      </w:r>
      <w:r>
        <w:rPr>
          <w:rFonts w:hint="eastAsia" w:ascii="Times New Roman"/>
          <w:szCs w:val="21"/>
        </w:rPr>
        <w:t>＜</w:t>
      </w:r>
      <w:r>
        <w:rPr>
          <w:rFonts w:ascii="Times New Roman"/>
          <w:szCs w:val="21"/>
        </w:rPr>
        <w:t>10%。NAL:75%~100%，SD</w:t>
      </w:r>
      <w:r>
        <w:rPr>
          <w:rFonts w:hint="eastAsia" w:ascii="Times New Roman"/>
          <w:szCs w:val="21"/>
        </w:rPr>
        <w:t>＜</w:t>
      </w:r>
      <w:r>
        <w:rPr>
          <w:rFonts w:ascii="Times New Roman"/>
          <w:szCs w:val="21"/>
        </w:rPr>
        <w:t>10%。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8.3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受试物氨基酸衍生物消耗值SD：NAC小于10%，NAL小于10%。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8.4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参比溶液A的NAC/NAL平均浓度：3.2 μmol/L～4.4 μmol/L。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8.5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参比溶液C的NAC/NAL平均浓度：3.2 μmol/L～4.4 μmol/L。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8.6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参比溶液B、C峰面积RSD%</w:t>
      </w:r>
      <w:r>
        <w:rPr>
          <w:rFonts w:hint="eastAsia" w:ascii="Times New Roman"/>
          <w:szCs w:val="21"/>
        </w:rPr>
        <w:t>＜</w:t>
      </w:r>
      <w:r>
        <w:rPr>
          <w:rFonts w:ascii="Times New Roman"/>
          <w:szCs w:val="21"/>
        </w:rPr>
        <w:t>10%（n=9），每种溶剂对照C峰面积RSD%</w:t>
      </w:r>
      <w:r>
        <w:rPr>
          <w:rFonts w:hint="eastAsia" w:ascii="Times New Roman"/>
          <w:szCs w:val="21"/>
        </w:rPr>
        <w:t>＜</w:t>
      </w:r>
      <w:r>
        <w:rPr>
          <w:rFonts w:ascii="Times New Roman"/>
          <w:szCs w:val="21"/>
        </w:rPr>
        <w:t>10%（n=3）。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8.7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NAC或NAL稳定性：ST</w:t>
      </w:r>
      <w:r>
        <w:rPr>
          <w:rFonts w:hint="eastAsia" w:ascii="Times New Roman"/>
          <w:szCs w:val="21"/>
        </w:rPr>
        <w:t>（</w:t>
      </w:r>
      <w:r>
        <w:rPr>
          <w:rFonts w:ascii="Times New Roman"/>
          <w:szCs w:val="21"/>
        </w:rPr>
        <w:t>0 h</w:t>
      </w:r>
      <w:r>
        <w:rPr>
          <w:rFonts w:hint="eastAsia" w:ascii="Times New Roman"/>
          <w:szCs w:val="21"/>
        </w:rPr>
        <w:t>）</w:t>
      </w:r>
      <w:r>
        <w:rPr>
          <w:rFonts w:ascii="Times New Roman"/>
          <w:szCs w:val="21"/>
        </w:rPr>
        <w:t>与ST</w:t>
      </w:r>
      <w:r>
        <w:rPr>
          <w:rFonts w:hint="eastAsia" w:ascii="Times New Roman"/>
          <w:szCs w:val="21"/>
        </w:rPr>
        <w:t>（</w:t>
      </w:r>
      <w:r>
        <w:rPr>
          <w:rFonts w:ascii="Times New Roman"/>
          <w:szCs w:val="21"/>
        </w:rPr>
        <w:t>24 h</w:t>
      </w:r>
      <w:r>
        <w:rPr>
          <w:rFonts w:hint="eastAsia" w:ascii="Times New Roman"/>
          <w:szCs w:val="21"/>
        </w:rPr>
        <w:t>）</w:t>
      </w:r>
      <w:r>
        <w:rPr>
          <w:rFonts w:ascii="Times New Roman"/>
          <w:szCs w:val="21"/>
        </w:rPr>
        <w:t>浓度相差</w:t>
      </w:r>
      <w:r>
        <w:rPr>
          <w:rFonts w:hint="eastAsia" w:ascii="Times New Roman"/>
          <w:szCs w:val="21"/>
        </w:rPr>
        <w:t>≤</w:t>
      </w:r>
      <w:r>
        <w:rPr>
          <w:rFonts w:ascii="Times New Roman"/>
          <w:szCs w:val="21"/>
        </w:rPr>
        <w:t>10%。ST</w:t>
      </w:r>
      <w:r>
        <w:rPr>
          <w:rFonts w:hint="eastAsia" w:ascii="Times New Roman"/>
          <w:szCs w:val="21"/>
        </w:rPr>
        <w:t>（</w:t>
      </w:r>
      <w:r>
        <w:rPr>
          <w:rFonts w:ascii="Times New Roman"/>
          <w:szCs w:val="21"/>
        </w:rPr>
        <w:t>0 h</w:t>
      </w:r>
      <w:r>
        <w:rPr>
          <w:rFonts w:hint="eastAsia" w:ascii="Times New Roman"/>
          <w:szCs w:val="21"/>
        </w:rPr>
        <w:t>）</w:t>
      </w:r>
      <w:r>
        <w:rPr>
          <w:rFonts w:ascii="Times New Roman"/>
          <w:szCs w:val="21"/>
        </w:rPr>
        <w:t>，NAC或NAL的初始浓度；ST（24 h），反应24±1 h后NAC或NAL的浓度。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9  结果判定标准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jc w:val="left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9.1 </w:t>
      </w:r>
      <w:r>
        <w:rPr>
          <w:rFonts w:hint="eastAsia" w:ascii="Times New Roman"/>
          <w:szCs w:val="21"/>
        </w:rPr>
        <w:t xml:space="preserve"> </w:t>
      </w:r>
      <w:r>
        <w:rPr>
          <w:rFonts w:ascii="Times New Roman"/>
          <w:szCs w:val="21"/>
        </w:rPr>
        <w:t>当受试物与NAC和NAL都不发生共洗脱时，采用1:50 NAC和1:50 NAL模型（表2）判定。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420"/>
        <w:jc w:val="center"/>
        <w:rPr>
          <w:rFonts w:ascii="Times New Roman" w:eastAsiaTheme="minorEastAsia"/>
          <w:kern w:val="2"/>
          <w:szCs w:val="21"/>
        </w:rPr>
      </w:pPr>
      <w:r>
        <w:rPr>
          <w:rFonts w:ascii="Times New Roman" w:eastAsia="黑体"/>
          <w:color w:val="000000"/>
          <w:szCs w:val="21"/>
        </w:rPr>
        <w:t>表2  1:50</w:t>
      </w:r>
      <w:r>
        <w:rPr>
          <w:rFonts w:hint="eastAsia" w:ascii="Times New Roman" w:eastAsia="黑体"/>
          <w:color w:val="000000"/>
          <w:szCs w:val="21"/>
        </w:rPr>
        <w:t xml:space="preserve"> </w:t>
      </w:r>
      <w:r>
        <w:rPr>
          <w:rFonts w:ascii="Times New Roman" w:eastAsia="黑体"/>
          <w:color w:val="000000"/>
          <w:szCs w:val="21"/>
        </w:rPr>
        <w:t>NAC和1:50</w:t>
      </w:r>
      <w:r>
        <w:rPr>
          <w:rFonts w:hint="eastAsia" w:ascii="Times New Roman" w:eastAsia="黑体"/>
          <w:color w:val="000000"/>
          <w:szCs w:val="21"/>
        </w:rPr>
        <w:t xml:space="preserve"> </w:t>
      </w:r>
      <w:r>
        <w:rPr>
          <w:rFonts w:ascii="Times New Roman" w:eastAsia="黑体"/>
          <w:color w:val="000000"/>
          <w:szCs w:val="21"/>
        </w:rPr>
        <w:t>NAL判定模型</w:t>
      </w:r>
      <w:r>
        <w:rPr>
          <w:rFonts w:ascii="Times New Roman"/>
          <w:szCs w:val="21"/>
        </w:rPr>
        <w:fldChar w:fldCharType="begin"/>
      </w:r>
      <w:r>
        <w:rPr>
          <w:rFonts w:ascii="Times New Roman"/>
          <w:szCs w:val="21"/>
        </w:rPr>
        <w:instrText xml:space="preserve"> LINK Excel.Sheet.12 C:\\Users\\沈立\\Desktop\\理化方法-非国标-化妆品.xlsx Sheet1!R93C1:R96C2 \a \f 4 \h  \* MERGEFORMAT </w:instrText>
      </w:r>
      <w:r>
        <w:rPr>
          <w:rFonts w:ascii="Times New Roman"/>
          <w:szCs w:val="21"/>
        </w:rPr>
        <w:fldChar w:fldCharType="separate"/>
      </w:r>
    </w:p>
    <w:tbl>
      <w:tblPr>
        <w:tblStyle w:val="7"/>
        <w:tblW w:w="71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6"/>
        <w:gridCol w:w="31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986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NAC和NAL消耗百分比的均值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预测结果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86" w:type="dxa"/>
            <w:tcBorders>
              <w:top w:val="single" w:color="000000" w:sz="8" w:space="0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0%≤消耗百分比的均值&lt;4.9%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阴性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986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4.9%≤消耗百分比的均值≤100%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20" w:beforeLines="50" w:after="120" w:afterLines="50" w:line="30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Cs w:val="21"/>
              </w:rPr>
              <w:t>阳性</w:t>
            </w:r>
          </w:p>
        </w:tc>
      </w:tr>
    </w:tbl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 w:eastAsia="仿宋_GB2312"/>
          <w:szCs w:val="21"/>
        </w:rPr>
      </w:pPr>
      <w:r>
        <w:rPr>
          <w:rFonts w:ascii="Times New Roman" w:eastAsia="仿宋_GB2312"/>
          <w:szCs w:val="21"/>
        </w:rPr>
        <w:fldChar w:fldCharType="end"/>
      </w:r>
      <w:r>
        <w:rPr>
          <w:rFonts w:ascii="Times New Roman" w:eastAsia="仿宋_GB2312"/>
          <w:szCs w:val="21"/>
        </w:rPr>
        <w:t xml:space="preserve">9.2 </w:t>
      </w:r>
      <w:r>
        <w:rPr>
          <w:rFonts w:hint="eastAsia" w:ascii="Times New Roman" w:eastAsia="仿宋_GB2312"/>
          <w:szCs w:val="21"/>
        </w:rPr>
        <w:t xml:space="preserve"> </w:t>
      </w:r>
      <w:r>
        <w:rPr>
          <w:rFonts w:ascii="Times New Roman" w:eastAsiaTheme="minorEastAsia"/>
          <w:szCs w:val="21"/>
        </w:rPr>
        <w:t>当受试物仅与NAL发生共洗脱时，采用1:50 NAC模型（表3）判定。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ind w:firstLine="420" w:firstLineChars="200"/>
        <w:jc w:val="center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表3  1:50 NAC判定模型</w:t>
      </w:r>
    </w:p>
    <w:tbl>
      <w:tblPr>
        <w:tblStyle w:val="7"/>
        <w:tblW w:w="7087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1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NAC消耗百分比的均值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预测结果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tcBorders>
              <w:top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0%≤消耗百分比的均值&lt;5.6%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ind w:firstLine="210" w:firstLineChars="1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5.6%≤消耗百分比的均值≤100%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 w:line="30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阳性</w:t>
            </w:r>
          </w:p>
        </w:tc>
      </w:tr>
    </w:tbl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9.3 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当受试物同时与NAC、NAL发生共洗脱或者与NAC单独共洗脱时，判定结论为</w:t>
      </w:r>
      <w:r>
        <w:rPr>
          <w:rFonts w:hint="eastAsia"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无定论</w:t>
      </w:r>
      <w:r>
        <w:rPr>
          <w:rFonts w:hint="eastAsia" w:ascii="Times New Roman" w:hAnsi="Times New Roman" w:cs="Times New Roman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before="120" w:beforeLines="50" w:after="120" w:afterLines="50" w:line="300" w:lineRule="auto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10  注意事项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 xml:space="preserve">10.1. </w:t>
      </w:r>
      <w:bookmarkStart w:id="2" w:name="OLE_LINK2"/>
      <w:bookmarkStart w:id="3" w:name="OLE_LINK1"/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采用1:50 NAC和1:50 NAL模型时，NAC和NAL消耗百分比的均值在3%-10%之间；采用1:50 NAC模型时，消耗百分比在4%</w:t>
      </w:r>
      <w:r>
        <w:rPr>
          <w:rFonts w:ascii="Times New Roman"/>
          <w:szCs w:val="21"/>
        </w:rPr>
        <w:t>～</w:t>
      </w:r>
      <w:r>
        <w:rPr>
          <w:rFonts w:ascii="Times New Roman" w:eastAsiaTheme="minorEastAsia"/>
          <w:szCs w:val="21"/>
        </w:rPr>
        <w:t>11%之间，须进行重复测试；若前两次结果不一致，须再次测试。</w:t>
      </w:r>
      <w:bookmarkEnd w:id="2"/>
      <w:bookmarkEnd w:id="3"/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 xml:space="preserve">10.2 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在对</w:t>
      </w:r>
      <w:bookmarkStart w:id="4" w:name="OLE_LINK9"/>
      <w:bookmarkStart w:id="5" w:name="OLE_LINK10"/>
      <w:r>
        <w:rPr>
          <w:rFonts w:ascii="Times New Roman" w:eastAsiaTheme="minorEastAsia"/>
          <w:szCs w:val="21"/>
        </w:rPr>
        <w:t>已知组分的多组分</w:t>
      </w:r>
      <w:bookmarkEnd w:id="4"/>
      <w:bookmarkEnd w:id="5"/>
      <w:r>
        <w:rPr>
          <w:rFonts w:ascii="Times New Roman" w:eastAsiaTheme="minorEastAsia"/>
          <w:szCs w:val="21"/>
        </w:rPr>
        <w:t>化妆品用化学原料进行试验时，可根据各组成成分（除水以外）的平均分子量进行1 mmol/L样品的配制。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 xml:space="preserve">10.3 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若受试物在建议溶剂中的溶解度达不到1 mmol/L，理论上仍可以进行试验。在这种情况下得出的阳性结果仍有参考意义，但得出的阴性结果不能说明受试物一定没有致敏性。若一种受试物能在不同溶剂溶解度当中达到1 mmol/L，不同溶剂的溶解形成的溶液实验数值可能不同。实际选择溶剂时应考虑溶液的稳定性。</w:t>
      </w:r>
    </w:p>
    <w:p>
      <w:pPr>
        <w:pStyle w:val="9"/>
        <w:adjustRightInd w:val="0"/>
        <w:snapToGrid w:val="0"/>
        <w:spacing w:before="120" w:beforeLines="50" w:after="120" w:afterLines="50" w:line="300" w:lineRule="auto"/>
        <w:ind w:firstLine="0" w:firstLineChars="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 xml:space="preserve">10.4 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 xml:space="preserve">液相进样序列建议参照表4执行。建议选用带有温度控制的样品盘，温度设置在4 </w:t>
      </w:r>
      <w:r>
        <w:rPr>
          <w:rFonts w:ascii="Times New Roman"/>
          <w:szCs w:val="21"/>
        </w:rPr>
        <w:t>℃</w:t>
      </w:r>
      <w:r>
        <w:rPr>
          <w:rFonts w:ascii="Times New Roman" w:eastAsiaTheme="minorEastAsia"/>
          <w:szCs w:val="21"/>
        </w:rPr>
        <w:t>，并且序列运行时间尽量控制在30 h之内。</w:t>
      </w:r>
    </w:p>
    <w:p>
      <w:pPr>
        <w:adjustRightInd w:val="0"/>
        <w:snapToGrid w:val="0"/>
        <w:spacing w:before="120" w:beforeLines="50" w:after="120" w:afterLines="50" w:line="300" w:lineRule="auto"/>
        <w:jc w:val="center"/>
        <w:rPr>
          <w:rFonts w:ascii="Times New Roman" w:hAnsi="Times New Roman" w:eastAsia="黑体" w:cs="Times New Roman"/>
          <w:bCs/>
          <w:kern w:val="0"/>
          <w:szCs w:val="21"/>
        </w:rPr>
      </w:pPr>
      <w:r>
        <w:rPr>
          <w:rFonts w:ascii="Times New Roman" w:hAnsi="Times New Roman" w:eastAsia="黑体" w:cs="Times New Roman"/>
          <w:bCs/>
          <w:kern w:val="0"/>
          <w:szCs w:val="21"/>
        </w:rPr>
        <w:t>表4 液相进样序列</w:t>
      </w:r>
    </w:p>
    <w:tbl>
      <w:tblPr>
        <w:tblStyle w:val="7"/>
        <w:tblW w:w="836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5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稀释溶剂(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Std1)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标准溶液和空白对照</w:t>
            </w: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Std2~ Std7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对照A平行样品1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对照A平行样品2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对照A平行样品3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共洗脱对照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受试物1共洗脱对照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受试物2共洗脱对照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重复进样第一次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对照C平行样品1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阳性对照平行样品1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受试物1平行样品1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受试物2平行样品1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重复进样第二次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对照C平行样品2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阳性对照平行样品2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受试物1平行样品2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受试物2平行样品2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重复进样第三次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对照C平行样品3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阳性对照平行样品3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受试物1平行样品3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受试物2平行样品3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对照B平行样品6</w:t>
            </w:r>
          </w:p>
        </w:tc>
      </w:tr>
    </w:tbl>
    <w:p>
      <w:pPr>
        <w:spacing w:before="120" w:beforeLines="50" w:after="120" w:afterLines="50" w:line="300" w:lineRule="auto"/>
        <w:rPr>
          <w:rFonts w:ascii="Times New Roman" w:hAnsi="Times New Roman" w:cs="Times New Roman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altName w:val="Calade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DVlMDljN2VlZTI4MGMzOGM5NWRiZTg4Njk4MGYifQ=="/>
  </w:docVars>
  <w:rsids>
    <w:rsidRoot w:val="00222F67"/>
    <w:rsid w:val="00002A6A"/>
    <w:rsid w:val="00005652"/>
    <w:rsid w:val="00011011"/>
    <w:rsid w:val="00025C33"/>
    <w:rsid w:val="00045E1C"/>
    <w:rsid w:val="00046964"/>
    <w:rsid w:val="00051510"/>
    <w:rsid w:val="000537F0"/>
    <w:rsid w:val="00060529"/>
    <w:rsid w:val="000626C1"/>
    <w:rsid w:val="00065750"/>
    <w:rsid w:val="000675BD"/>
    <w:rsid w:val="00070C8E"/>
    <w:rsid w:val="000730C3"/>
    <w:rsid w:val="00074941"/>
    <w:rsid w:val="00075338"/>
    <w:rsid w:val="00086CD5"/>
    <w:rsid w:val="00087F48"/>
    <w:rsid w:val="000A0005"/>
    <w:rsid w:val="000B2EC6"/>
    <w:rsid w:val="000C1B41"/>
    <w:rsid w:val="000C4050"/>
    <w:rsid w:val="000D3113"/>
    <w:rsid w:val="000D52F8"/>
    <w:rsid w:val="000E67EB"/>
    <w:rsid w:val="00104CF5"/>
    <w:rsid w:val="00113231"/>
    <w:rsid w:val="001208E3"/>
    <w:rsid w:val="00125A76"/>
    <w:rsid w:val="00131A76"/>
    <w:rsid w:val="00134544"/>
    <w:rsid w:val="0013724D"/>
    <w:rsid w:val="00144C00"/>
    <w:rsid w:val="001452B6"/>
    <w:rsid w:val="00150829"/>
    <w:rsid w:val="001669FA"/>
    <w:rsid w:val="0017159D"/>
    <w:rsid w:val="0017243C"/>
    <w:rsid w:val="001834E5"/>
    <w:rsid w:val="001873C1"/>
    <w:rsid w:val="00191D88"/>
    <w:rsid w:val="0019711F"/>
    <w:rsid w:val="001A59C3"/>
    <w:rsid w:val="001B7830"/>
    <w:rsid w:val="001D624D"/>
    <w:rsid w:val="001E4CEB"/>
    <w:rsid w:val="001E7B19"/>
    <w:rsid w:val="001F4304"/>
    <w:rsid w:val="00206892"/>
    <w:rsid w:val="00207106"/>
    <w:rsid w:val="00222F67"/>
    <w:rsid w:val="002528D7"/>
    <w:rsid w:val="00263D43"/>
    <w:rsid w:val="00270308"/>
    <w:rsid w:val="002736C9"/>
    <w:rsid w:val="0027435B"/>
    <w:rsid w:val="002840F7"/>
    <w:rsid w:val="00285C0D"/>
    <w:rsid w:val="00285F05"/>
    <w:rsid w:val="00292459"/>
    <w:rsid w:val="002A06EE"/>
    <w:rsid w:val="002B1131"/>
    <w:rsid w:val="002B2CC7"/>
    <w:rsid w:val="002B7283"/>
    <w:rsid w:val="002C339A"/>
    <w:rsid w:val="002D2091"/>
    <w:rsid w:val="002E164A"/>
    <w:rsid w:val="002E4175"/>
    <w:rsid w:val="002F0D9D"/>
    <w:rsid w:val="002F303D"/>
    <w:rsid w:val="002F6272"/>
    <w:rsid w:val="003068F0"/>
    <w:rsid w:val="003107F4"/>
    <w:rsid w:val="00311272"/>
    <w:rsid w:val="003179FB"/>
    <w:rsid w:val="003403F5"/>
    <w:rsid w:val="00343E16"/>
    <w:rsid w:val="00350FF9"/>
    <w:rsid w:val="00353379"/>
    <w:rsid w:val="00355341"/>
    <w:rsid w:val="0037310E"/>
    <w:rsid w:val="00375373"/>
    <w:rsid w:val="00375BFD"/>
    <w:rsid w:val="00383E9A"/>
    <w:rsid w:val="00387DCD"/>
    <w:rsid w:val="003B05A4"/>
    <w:rsid w:val="003C736B"/>
    <w:rsid w:val="003F6E7A"/>
    <w:rsid w:val="003F7F41"/>
    <w:rsid w:val="004048C3"/>
    <w:rsid w:val="004159F6"/>
    <w:rsid w:val="004222C0"/>
    <w:rsid w:val="00427265"/>
    <w:rsid w:val="004305E6"/>
    <w:rsid w:val="00442B33"/>
    <w:rsid w:val="00450E1A"/>
    <w:rsid w:val="00451AB0"/>
    <w:rsid w:val="00452C21"/>
    <w:rsid w:val="004612A7"/>
    <w:rsid w:val="00461892"/>
    <w:rsid w:val="00483305"/>
    <w:rsid w:val="004A6ED1"/>
    <w:rsid w:val="004A7CC9"/>
    <w:rsid w:val="004B67F8"/>
    <w:rsid w:val="004B7C6B"/>
    <w:rsid w:val="004D3A2D"/>
    <w:rsid w:val="004D5C9F"/>
    <w:rsid w:val="004E1B95"/>
    <w:rsid w:val="004E4E3F"/>
    <w:rsid w:val="004E70C1"/>
    <w:rsid w:val="004F2960"/>
    <w:rsid w:val="004F37B1"/>
    <w:rsid w:val="004F57EA"/>
    <w:rsid w:val="005073E5"/>
    <w:rsid w:val="00514965"/>
    <w:rsid w:val="00515CC9"/>
    <w:rsid w:val="00542286"/>
    <w:rsid w:val="00543B4E"/>
    <w:rsid w:val="00562C9D"/>
    <w:rsid w:val="00564FA3"/>
    <w:rsid w:val="00566977"/>
    <w:rsid w:val="005675E7"/>
    <w:rsid w:val="005766C4"/>
    <w:rsid w:val="00581F01"/>
    <w:rsid w:val="00587644"/>
    <w:rsid w:val="005917EC"/>
    <w:rsid w:val="005A2991"/>
    <w:rsid w:val="005A6D11"/>
    <w:rsid w:val="005B656A"/>
    <w:rsid w:val="005D1ECE"/>
    <w:rsid w:val="005D4609"/>
    <w:rsid w:val="005E3C00"/>
    <w:rsid w:val="005E6812"/>
    <w:rsid w:val="00603879"/>
    <w:rsid w:val="0060572E"/>
    <w:rsid w:val="00611DFE"/>
    <w:rsid w:val="00621F0E"/>
    <w:rsid w:val="00622AC4"/>
    <w:rsid w:val="00633F14"/>
    <w:rsid w:val="00637576"/>
    <w:rsid w:val="006428C3"/>
    <w:rsid w:val="00645E07"/>
    <w:rsid w:val="0065444C"/>
    <w:rsid w:val="00660ACC"/>
    <w:rsid w:val="00663F4A"/>
    <w:rsid w:val="00664D38"/>
    <w:rsid w:val="00665EB1"/>
    <w:rsid w:val="006752FA"/>
    <w:rsid w:val="0069518A"/>
    <w:rsid w:val="006A2DF7"/>
    <w:rsid w:val="006A3705"/>
    <w:rsid w:val="006A561F"/>
    <w:rsid w:val="006A74A3"/>
    <w:rsid w:val="006B34A1"/>
    <w:rsid w:val="006B355A"/>
    <w:rsid w:val="006B4A17"/>
    <w:rsid w:val="006D0F4C"/>
    <w:rsid w:val="006D7188"/>
    <w:rsid w:val="006E5069"/>
    <w:rsid w:val="00701FC4"/>
    <w:rsid w:val="0070257E"/>
    <w:rsid w:val="0070564D"/>
    <w:rsid w:val="00715454"/>
    <w:rsid w:val="00717ACE"/>
    <w:rsid w:val="00722AFF"/>
    <w:rsid w:val="00723E4C"/>
    <w:rsid w:val="00734524"/>
    <w:rsid w:val="00741241"/>
    <w:rsid w:val="00745C35"/>
    <w:rsid w:val="00745F1C"/>
    <w:rsid w:val="007576D2"/>
    <w:rsid w:val="00784553"/>
    <w:rsid w:val="00794529"/>
    <w:rsid w:val="007969BF"/>
    <w:rsid w:val="007A5E40"/>
    <w:rsid w:val="007A6C63"/>
    <w:rsid w:val="007A77C8"/>
    <w:rsid w:val="007B45C3"/>
    <w:rsid w:val="007B47B6"/>
    <w:rsid w:val="007C3726"/>
    <w:rsid w:val="007D763E"/>
    <w:rsid w:val="007E398B"/>
    <w:rsid w:val="007E4215"/>
    <w:rsid w:val="007E45F3"/>
    <w:rsid w:val="007F61DE"/>
    <w:rsid w:val="00806A2F"/>
    <w:rsid w:val="00823364"/>
    <w:rsid w:val="0082417C"/>
    <w:rsid w:val="008327BC"/>
    <w:rsid w:val="00846D18"/>
    <w:rsid w:val="008566A4"/>
    <w:rsid w:val="00863F5F"/>
    <w:rsid w:val="00864035"/>
    <w:rsid w:val="00875944"/>
    <w:rsid w:val="00876FBA"/>
    <w:rsid w:val="0087784C"/>
    <w:rsid w:val="0088242B"/>
    <w:rsid w:val="00883623"/>
    <w:rsid w:val="00886AD2"/>
    <w:rsid w:val="00894720"/>
    <w:rsid w:val="008C0876"/>
    <w:rsid w:val="008C7059"/>
    <w:rsid w:val="008D1C80"/>
    <w:rsid w:val="008D53FF"/>
    <w:rsid w:val="008D5CD3"/>
    <w:rsid w:val="008D7E0D"/>
    <w:rsid w:val="008F422C"/>
    <w:rsid w:val="00902663"/>
    <w:rsid w:val="00903614"/>
    <w:rsid w:val="00912C57"/>
    <w:rsid w:val="009203A4"/>
    <w:rsid w:val="00921D9A"/>
    <w:rsid w:val="00924082"/>
    <w:rsid w:val="009404B1"/>
    <w:rsid w:val="00965CF5"/>
    <w:rsid w:val="00971CE0"/>
    <w:rsid w:val="00972DEF"/>
    <w:rsid w:val="00976B3E"/>
    <w:rsid w:val="00992DCD"/>
    <w:rsid w:val="009935D2"/>
    <w:rsid w:val="009954B4"/>
    <w:rsid w:val="00997E5A"/>
    <w:rsid w:val="009A0BB8"/>
    <w:rsid w:val="009A48C4"/>
    <w:rsid w:val="009A4BE4"/>
    <w:rsid w:val="009F57F5"/>
    <w:rsid w:val="00A03DFA"/>
    <w:rsid w:val="00A05331"/>
    <w:rsid w:val="00A242BC"/>
    <w:rsid w:val="00A325BF"/>
    <w:rsid w:val="00A32A93"/>
    <w:rsid w:val="00A40550"/>
    <w:rsid w:val="00A66722"/>
    <w:rsid w:val="00A753FA"/>
    <w:rsid w:val="00A811C0"/>
    <w:rsid w:val="00A93BE9"/>
    <w:rsid w:val="00AA65B5"/>
    <w:rsid w:val="00AC1D6F"/>
    <w:rsid w:val="00AC4F1D"/>
    <w:rsid w:val="00AC616E"/>
    <w:rsid w:val="00AD4E2F"/>
    <w:rsid w:val="00AE5BAF"/>
    <w:rsid w:val="00AE7D21"/>
    <w:rsid w:val="00AF4C43"/>
    <w:rsid w:val="00B034C9"/>
    <w:rsid w:val="00B16119"/>
    <w:rsid w:val="00B17FB2"/>
    <w:rsid w:val="00B2603E"/>
    <w:rsid w:val="00B31E97"/>
    <w:rsid w:val="00B374AE"/>
    <w:rsid w:val="00B810D1"/>
    <w:rsid w:val="00B9100A"/>
    <w:rsid w:val="00BB75D9"/>
    <w:rsid w:val="00BC44D4"/>
    <w:rsid w:val="00BD19B3"/>
    <w:rsid w:val="00BF52F1"/>
    <w:rsid w:val="00C003E2"/>
    <w:rsid w:val="00C3302A"/>
    <w:rsid w:val="00C37A3A"/>
    <w:rsid w:val="00C42765"/>
    <w:rsid w:val="00C4792D"/>
    <w:rsid w:val="00C53ABC"/>
    <w:rsid w:val="00C548FC"/>
    <w:rsid w:val="00C6450B"/>
    <w:rsid w:val="00C67AF4"/>
    <w:rsid w:val="00C72981"/>
    <w:rsid w:val="00C75898"/>
    <w:rsid w:val="00C75963"/>
    <w:rsid w:val="00C87BC3"/>
    <w:rsid w:val="00C965D8"/>
    <w:rsid w:val="00CA2AAB"/>
    <w:rsid w:val="00CB230D"/>
    <w:rsid w:val="00CB4BA7"/>
    <w:rsid w:val="00CB6A65"/>
    <w:rsid w:val="00CC764E"/>
    <w:rsid w:val="00CD1A1D"/>
    <w:rsid w:val="00CE5A24"/>
    <w:rsid w:val="00CE7B20"/>
    <w:rsid w:val="00D06D59"/>
    <w:rsid w:val="00D24904"/>
    <w:rsid w:val="00D33CA5"/>
    <w:rsid w:val="00D41585"/>
    <w:rsid w:val="00D45665"/>
    <w:rsid w:val="00D457B5"/>
    <w:rsid w:val="00D47101"/>
    <w:rsid w:val="00D613D7"/>
    <w:rsid w:val="00D62410"/>
    <w:rsid w:val="00D62679"/>
    <w:rsid w:val="00D65953"/>
    <w:rsid w:val="00D77361"/>
    <w:rsid w:val="00D86A0D"/>
    <w:rsid w:val="00D963F6"/>
    <w:rsid w:val="00D96BF3"/>
    <w:rsid w:val="00DA1E1F"/>
    <w:rsid w:val="00DA3DE6"/>
    <w:rsid w:val="00DA57CD"/>
    <w:rsid w:val="00DB59D0"/>
    <w:rsid w:val="00DC606A"/>
    <w:rsid w:val="00DE0427"/>
    <w:rsid w:val="00DE48AE"/>
    <w:rsid w:val="00DE7672"/>
    <w:rsid w:val="00DF14A7"/>
    <w:rsid w:val="00DF2FCA"/>
    <w:rsid w:val="00E01771"/>
    <w:rsid w:val="00E0470E"/>
    <w:rsid w:val="00E05195"/>
    <w:rsid w:val="00E06525"/>
    <w:rsid w:val="00E12536"/>
    <w:rsid w:val="00E23CBC"/>
    <w:rsid w:val="00E2765B"/>
    <w:rsid w:val="00E27A9F"/>
    <w:rsid w:val="00E318F9"/>
    <w:rsid w:val="00E40205"/>
    <w:rsid w:val="00E40A9D"/>
    <w:rsid w:val="00E41D42"/>
    <w:rsid w:val="00E503CD"/>
    <w:rsid w:val="00E5719A"/>
    <w:rsid w:val="00E60F12"/>
    <w:rsid w:val="00E67A20"/>
    <w:rsid w:val="00E74F8C"/>
    <w:rsid w:val="00E8043C"/>
    <w:rsid w:val="00E81234"/>
    <w:rsid w:val="00E85654"/>
    <w:rsid w:val="00E96B3B"/>
    <w:rsid w:val="00EA151A"/>
    <w:rsid w:val="00EA43BF"/>
    <w:rsid w:val="00EE239A"/>
    <w:rsid w:val="00EF5537"/>
    <w:rsid w:val="00F0197D"/>
    <w:rsid w:val="00F12E9D"/>
    <w:rsid w:val="00F21F82"/>
    <w:rsid w:val="00F31EA3"/>
    <w:rsid w:val="00F35ED8"/>
    <w:rsid w:val="00F426CE"/>
    <w:rsid w:val="00F47316"/>
    <w:rsid w:val="00F50D9F"/>
    <w:rsid w:val="00F54B25"/>
    <w:rsid w:val="00F64629"/>
    <w:rsid w:val="00F66215"/>
    <w:rsid w:val="00F90707"/>
    <w:rsid w:val="00FA3825"/>
    <w:rsid w:val="00FA68B4"/>
    <w:rsid w:val="00FB4F72"/>
    <w:rsid w:val="00FB59F8"/>
    <w:rsid w:val="00FC6F5E"/>
    <w:rsid w:val="00FF03A5"/>
    <w:rsid w:val="00FF1F64"/>
    <w:rsid w:val="00FF562E"/>
    <w:rsid w:val="02502671"/>
    <w:rsid w:val="093C56FD"/>
    <w:rsid w:val="0C8B0F07"/>
    <w:rsid w:val="0CCD1266"/>
    <w:rsid w:val="0EA224A6"/>
    <w:rsid w:val="0FD03043"/>
    <w:rsid w:val="10236D62"/>
    <w:rsid w:val="13B011C1"/>
    <w:rsid w:val="20E039F5"/>
    <w:rsid w:val="226F3FF6"/>
    <w:rsid w:val="280E605F"/>
    <w:rsid w:val="28D70B46"/>
    <w:rsid w:val="2A4A0AD3"/>
    <w:rsid w:val="3790083E"/>
    <w:rsid w:val="38CC58A6"/>
    <w:rsid w:val="3C44609B"/>
    <w:rsid w:val="3E375EB7"/>
    <w:rsid w:val="493740F4"/>
    <w:rsid w:val="498312C9"/>
    <w:rsid w:val="4AB56EC7"/>
    <w:rsid w:val="4D6A264C"/>
    <w:rsid w:val="4EFC43CE"/>
    <w:rsid w:val="4FA17F32"/>
    <w:rsid w:val="50B909AE"/>
    <w:rsid w:val="54D933CD"/>
    <w:rsid w:val="5CB00EB7"/>
    <w:rsid w:val="5E2F30C2"/>
    <w:rsid w:val="5EE4753E"/>
    <w:rsid w:val="6CF90658"/>
    <w:rsid w:val="732B7092"/>
    <w:rsid w:val="75510906"/>
    <w:rsid w:val="79ED6E4F"/>
    <w:rsid w:val="7B5B603A"/>
    <w:rsid w:val="7E635932"/>
    <w:rsid w:val="7F5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666</Words>
  <Characters>3799</Characters>
  <Lines>31</Lines>
  <Paragraphs>8</Paragraphs>
  <TotalTime>14</TotalTime>
  <ScaleCrop>false</ScaleCrop>
  <LinksUpToDate>false</LinksUpToDate>
  <CharactersWithSpaces>4457</CharactersWithSpaces>
  <Application>WPS Office_10.1.0.8016_F1E327BC-269C-435d-A152-05C5408002CA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2023-05-29T09:25:00Z</dcterms:created>
  <dc:creator>Administrator</dc:creator>
  <cp:lastModifiedBy>hj0niuj</cp:lastModifiedBy>
  <cp:lastPrinted>2023-06-19T15:11:00Z</cp:lastPrinted>
  <dcterms:modified xsi:type="dcterms:W3CDTF">2023-08-02T14:59:39Z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2052-10.1.0.8016</vt:lpwstr>
  </property>
  <property fmtid="{D5CDD505-2E9C-101B-9397-08002B2CF9AE}" pid="3" name="ICV">
    <vt:lpwstr>727AC43B03ED498D82D7A3F89C00C355_13</vt:lpwstr>
  </property>
</Properties>
</file>