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default" w:eastAsia="黑体"/>
          <w:color w:val="000000" w:themeColor="text1"/>
          <w:sz w:val="32"/>
          <w:szCs w:val="32"/>
          <w:lang w:val="en-US" w:eastAsia="zh-CN"/>
          <w14:textFill>
            <w14:solidFill>
              <w14:schemeClr w14:val="tx1"/>
            </w14:solidFill>
          </w14:textFill>
        </w:rPr>
      </w:pPr>
      <w:r>
        <w:rPr>
          <w:rFonts w:eastAsia="黑体"/>
          <w:color w:val="000000" w:themeColor="text1"/>
          <w:sz w:val="32"/>
          <w:szCs w:val="32"/>
          <w14:textFill>
            <w14:solidFill>
              <w14:schemeClr w14:val="tx1"/>
            </w14:solidFill>
          </w14:textFill>
        </w:rPr>
        <w:t>附件</w:t>
      </w:r>
      <w:r>
        <w:rPr>
          <w:rFonts w:hint="eastAsia" w:eastAsia="黑体"/>
          <w:color w:val="000000" w:themeColor="text1"/>
          <w:sz w:val="32"/>
          <w:szCs w:val="32"/>
          <w:lang w:val="en-US" w:eastAsia="zh-CN"/>
          <w14:textFill>
            <w14:solidFill>
              <w14:schemeClr w14:val="tx1"/>
            </w14:solidFill>
          </w14:textFill>
        </w:rPr>
        <w:t>16</w:t>
      </w:r>
      <w:bookmarkStart w:id="0" w:name="_GoBack"/>
      <w:bookmarkEnd w:id="0"/>
    </w:p>
    <w:p>
      <w:pPr>
        <w:snapToGrid w:val="0"/>
        <w:spacing w:before="156" w:beforeLines="50" w:after="156" w:afterLines="50" w:line="300" w:lineRule="auto"/>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化妆品中丙烯酰胺的检验方法</w:t>
      </w:r>
    </w:p>
    <w:p>
      <w:pPr>
        <w:overflowPunct w:val="0"/>
        <w:autoSpaceDE w:val="0"/>
        <w:autoSpaceDN w:val="0"/>
        <w:snapToGrid w:val="0"/>
        <w:spacing w:before="156" w:beforeLines="50" w:after="156" w:afterLines="50" w:line="300" w:lineRule="auto"/>
        <w:jc w:val="center"/>
        <w:rPr>
          <w:rStyle w:val="17"/>
          <w:rFonts w:eastAsia="方正小标宋简体"/>
          <w:color w:val="000000" w:themeColor="text1"/>
          <w:szCs w:val="44"/>
          <w14:textFill>
            <w14:solidFill>
              <w14:schemeClr w14:val="tx1"/>
            </w14:solidFill>
          </w14:textFill>
        </w:rPr>
      </w:pPr>
      <w:r>
        <w:rPr>
          <w:rFonts w:eastAsia="方正小标宋简体"/>
          <w:color w:val="000000" w:themeColor="text1"/>
          <w:szCs w:val="44"/>
          <w14:textFill>
            <w14:solidFill>
              <w14:schemeClr w14:val="tx1"/>
            </w14:solidFill>
          </w14:textFill>
        </w:rPr>
        <w:t xml:space="preserve">Determination of </w:t>
      </w:r>
      <w:r>
        <w:rPr>
          <w:rStyle w:val="16"/>
          <w:color w:val="000000" w:themeColor="text1"/>
          <w14:textFill>
            <w14:solidFill>
              <w14:schemeClr w14:val="tx1"/>
            </w14:solidFill>
          </w14:textFill>
        </w:rPr>
        <w:t>A</w:t>
      </w:r>
      <w:r>
        <w:rPr>
          <w:rStyle w:val="17"/>
          <w:color w:val="000000" w:themeColor="text1"/>
          <w14:textFill>
            <w14:solidFill>
              <w14:schemeClr w14:val="tx1"/>
            </w14:solidFill>
          </w14:textFill>
        </w:rPr>
        <w:t>crylamide</w:t>
      </w:r>
      <w:r>
        <w:rPr>
          <w:rFonts w:eastAsia="方正小标宋简体"/>
          <w:color w:val="000000" w:themeColor="text1"/>
          <w:szCs w:val="44"/>
          <w14:textFill>
            <w14:solidFill>
              <w14:schemeClr w14:val="tx1"/>
            </w14:solidFill>
          </w14:textFill>
        </w:rPr>
        <w:t xml:space="preserve"> in </w:t>
      </w:r>
      <w:r>
        <w:rPr>
          <w:rFonts w:hint="eastAsia" w:eastAsia="方正小标宋简体"/>
          <w:color w:val="000000" w:themeColor="text1"/>
          <w:szCs w:val="44"/>
          <w14:textFill>
            <w14:solidFill>
              <w14:schemeClr w14:val="tx1"/>
            </w14:solidFill>
          </w14:textFill>
        </w:rPr>
        <w:t>C</w:t>
      </w:r>
      <w:r>
        <w:rPr>
          <w:rFonts w:eastAsia="方正小标宋简体"/>
          <w:color w:val="000000" w:themeColor="text1"/>
          <w:szCs w:val="44"/>
          <w14:textFill>
            <w14:solidFill>
              <w14:schemeClr w14:val="tx1"/>
            </w14:solidFill>
          </w14:textFill>
        </w:rPr>
        <w:t>osmetics</w:t>
      </w:r>
    </w:p>
    <w:p>
      <w:pPr>
        <w:snapToGrid w:val="0"/>
        <w:spacing w:before="156" w:beforeLines="50" w:after="156" w:afterLines="50" w:line="300" w:lineRule="auto"/>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1  范围</w:t>
      </w:r>
    </w:p>
    <w:p>
      <w:pPr>
        <w:snapToGrid w:val="0"/>
        <w:spacing w:before="156" w:beforeLines="50" w:after="156" w:afterLines="50"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本方法规定了液相色谱-串联质谱法测定化妆品中丙烯酰胺的含量。</w:t>
      </w:r>
    </w:p>
    <w:p>
      <w:pPr>
        <w:snapToGrid w:val="0"/>
        <w:spacing w:before="156" w:beforeLines="50" w:after="156" w:afterLines="50"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本方法适用于</w:t>
      </w:r>
      <w:r>
        <w:rPr>
          <w:color w:val="000000" w:themeColor="text1"/>
          <w:szCs w:val="21"/>
          <w14:textFill>
            <w14:solidFill>
              <w14:schemeClr w14:val="tx1"/>
            </w14:solidFill>
          </w14:textFill>
        </w:rPr>
        <w:t>液态水基类、液态油基类、凝胶类、膏霜乳液类、粉类化妆品</w:t>
      </w:r>
      <w:r>
        <w:rPr>
          <w:color w:val="000000" w:themeColor="text1"/>
          <w14:textFill>
            <w14:solidFill>
              <w14:schemeClr w14:val="tx1"/>
            </w14:solidFill>
          </w14:textFill>
        </w:rPr>
        <w:t>中丙烯酰胺含量的测定。</w:t>
      </w:r>
    </w:p>
    <w:p>
      <w:pPr>
        <w:snapToGrid w:val="0"/>
        <w:spacing w:before="156" w:beforeLines="50" w:after="156" w:afterLines="50" w:line="300" w:lineRule="auto"/>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2  方法提要</w:t>
      </w:r>
    </w:p>
    <w:p>
      <w:pPr>
        <w:snapToGrid w:val="0"/>
        <w:spacing w:before="156" w:beforeLines="50" w:after="156" w:afterLines="50"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样品提取、净化后，</w:t>
      </w:r>
      <w:r>
        <w:rPr>
          <w:rStyle w:val="16"/>
          <w:color w:val="000000" w:themeColor="text1"/>
          <w14:textFill>
            <w14:solidFill>
              <w14:schemeClr w14:val="tx1"/>
            </w14:solidFill>
          </w14:textFill>
        </w:rPr>
        <w:t>采用高效液相色谱仪分离，质谱检测器检测，根据保留时间和特征离子对的相对丰度比定性、定量离子对</w:t>
      </w:r>
      <w:r>
        <w:rPr>
          <w:color w:val="000000" w:themeColor="text1"/>
          <w14:textFill>
            <w14:solidFill>
              <w14:schemeClr w14:val="tx1"/>
            </w14:solidFill>
          </w14:textFill>
        </w:rPr>
        <w:t>内标法</w:t>
      </w:r>
      <w:r>
        <w:rPr>
          <w:rStyle w:val="16"/>
          <w:color w:val="000000" w:themeColor="text1"/>
          <w14:textFill>
            <w14:solidFill>
              <w14:schemeClr w14:val="tx1"/>
            </w14:solidFill>
          </w14:textFill>
        </w:rPr>
        <w:t>定量，以标准曲线法计算含量。</w:t>
      </w:r>
    </w:p>
    <w:p>
      <w:pPr>
        <w:snapToGrid w:val="0"/>
        <w:spacing w:before="156" w:beforeLines="50" w:after="156" w:afterLines="50"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本方法取样量为1.0 g时，检出浓度为0.01 mg/kg，最低定量浓度为0.03 mg/kg。</w:t>
      </w:r>
    </w:p>
    <w:p>
      <w:pPr>
        <w:snapToGrid w:val="0"/>
        <w:spacing w:before="156" w:beforeLines="50" w:after="156" w:afterLines="50" w:line="300" w:lineRule="auto"/>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3  试剂和材料</w:t>
      </w:r>
    </w:p>
    <w:p>
      <w:pPr>
        <w:snapToGrid w:val="0"/>
        <w:spacing w:before="156" w:beforeLines="50" w:after="156" w:afterLines="50"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除另有规定外，本方法所用试剂均为分析纯或以上规格，水为GB/T 6682规定的一级水。</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3.1  标准品：丙烯酰胺、氘代丙烯酰胺（2,3,3-D3）标准品信息详见附录A。</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3.2  甲醇，色谱纯。</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3.3  石油醚（30~60 </w:t>
      </w: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3.4  甲酸，色谱纯。</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3.5  5%甲酸溶液：吸取甲酸（3.4）5 mL，加水至100 mL，摇匀，即得。</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3.6  0.05%甲酸溶液：吸取甲酸（3.4）0.5 mL，加水至1000 mL，摇匀，即得。  </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3.7  标准储备溶液（1.0 mg/mL）：称取丙烯酰胺标准品（3.1）10 mg（精确至0. 00001 g），置10 mL容量瓶中，加水使溶解并定容至刻度，摇匀，即得。</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3.8  标准工作溶液（10.0 µg/mL）：精密量取标准储备溶液（3.7）1 mL，置100 mL容量瓶中，加水稀释至刻度，摇匀，即得。</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3.9  标准工作溶液（1.0 µg/mL）：精密量取标准储备溶液（3.8）10 mL，置100 mL容量瓶中，加水稀释至刻度，摇匀，即得。</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3.10  标准工作溶液（1.0 µg/mL）：称取氘代丙烯酰胺（2,3,3-D3）标准品（3.1）10 mg（精确至0.00001 g），置100 mL容量瓶中，加水使溶解并定容至刻度，摇匀，即得。</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3.11  内标工作溶液（1.0 µg/mL）： 精密量取内标标准储备溶液（3.10）1 mL，置100 mL容量瓶中，加水稀释至刻度，摇匀，即得。</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3.12  微孔滤膜（0.22 µm）。</w:t>
      </w:r>
    </w:p>
    <w:p>
      <w:pPr>
        <w:snapToGrid w:val="0"/>
        <w:spacing w:before="156" w:beforeLines="50" w:after="156" w:afterLines="50" w:line="300" w:lineRule="auto"/>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4  仪器和设备</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4.1  液相色谱-三重四极杆质谱联用仪。</w:t>
      </w:r>
    </w:p>
    <w:p>
      <w:pPr>
        <w:tabs>
          <w:tab w:val="left" w:pos="1853"/>
        </w:tabs>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4.2  天平。</w:t>
      </w:r>
      <w:r>
        <w:rPr>
          <w:color w:val="000000" w:themeColor="text1"/>
          <w:szCs w:val="21"/>
          <w14:textFill>
            <w14:solidFill>
              <w14:schemeClr w14:val="tx1"/>
            </w14:solidFill>
          </w14:textFill>
        </w:rPr>
        <w:tab/>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4.3  超声波清洗器。</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4.4  离心机</w:t>
      </w:r>
      <w:r>
        <w:rPr>
          <w:color w:val="000000" w:themeColor="text1"/>
          <w:kern w:val="0"/>
          <w:szCs w:val="21"/>
          <w14:textFill>
            <w14:solidFill>
              <w14:schemeClr w14:val="tx1"/>
            </w14:solidFill>
          </w14:textFill>
        </w:rPr>
        <w:t>，转速不低于12000 r/min</w:t>
      </w:r>
      <w:r>
        <w:rPr>
          <w:color w:val="000000" w:themeColor="text1"/>
          <w:szCs w:val="21"/>
          <w14:textFill>
            <w14:solidFill>
              <w14:schemeClr w14:val="tx1"/>
            </w14:solidFill>
          </w14:textFill>
        </w:rPr>
        <w:t>。</w:t>
      </w:r>
    </w:p>
    <w:p>
      <w:pPr>
        <w:snapToGrid w:val="0"/>
        <w:spacing w:before="156" w:beforeLines="50" w:after="156" w:afterLines="50"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4.5  涡旋混合仪。</w:t>
      </w:r>
    </w:p>
    <w:p>
      <w:pPr>
        <w:snapToGrid w:val="0"/>
        <w:spacing w:before="156" w:beforeLines="50" w:after="156" w:afterLines="50" w:line="300" w:lineRule="auto"/>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5  分析步骤</w:t>
      </w:r>
    </w:p>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5.1  标准系列溶液的制备</w:t>
      </w:r>
    </w:p>
    <w:p>
      <w:pPr>
        <w:snapToGrid w:val="0"/>
        <w:spacing w:before="156" w:beforeLines="50" w:after="156" w:afterLines="50"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分别精密吸取1.0 µg/mL的标准工作溶液（3.9）20、50、200 µL，10.0 µg/mL的标准工作溶液（3.8）50、100、200 µL，置不同的10 mL容量瓶中，分别精密加入1.0 μg/mL的内标工作溶液（3.11）200 μL，用水稀释至刻度，摇匀，配制得丙烯酰胺的质量分数分别为0.02、0.05、0.2、0.5、1、2 mg/kg的标准系列溶液。</w:t>
      </w:r>
    </w:p>
    <w:p>
      <w:pPr>
        <w:snapToGrid w:val="0"/>
        <w:spacing w:before="156" w:beforeLines="50" w:after="156" w:afterLines="50"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注：上述标准系列溶液中丙烯酰胺的质量分别为0.02、0.05、0.2、0.5、1、2 μg，内标的质量均为0.2 μg，折算到样品中（称样量以1.0 g计），相当于丙烯酰胺的质量分数分别为0.02、0.05、0.2、0.5、1、2 mg/kg。</w:t>
      </w:r>
    </w:p>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5.2  样品处理</w:t>
      </w:r>
    </w:p>
    <w:p>
      <w:pPr>
        <w:snapToGrid w:val="0"/>
        <w:spacing w:before="156" w:beforeLines="50" w:after="156" w:afterLines="50" w:line="30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称取样品1.0 g（精确至0.001 g），精密加入1.0 μg/mL的内标工作溶液（3.11）200 μL，涡旋30 s，加水10 mL、石油醚（3.3）10 mL，涡旋1</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min，超声处理10 min，于12000 r/min离心10 min，取下层水溶液3 mL，加5%甲酸溶液（3.5）60 µL、石油醚（30～60 </w:t>
      </w: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）（3.3）3 mL，涡旋30 s，于12000 r/min离心10 min，取下层水溶液，经微孔滤膜（3.12）过滤，取续滤液作为待测溶液。</w:t>
      </w:r>
    </w:p>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5.3  参考液相色谱-三重四极杆质谱联用条件</w:t>
      </w:r>
    </w:p>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5.3.1  色谱条件</w:t>
      </w:r>
    </w:p>
    <w:p>
      <w:pPr>
        <w:snapToGrid w:val="0"/>
        <w:spacing w:before="156" w:beforeLines="50" w:after="156" w:afterLines="50" w:line="30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色谱柱：C</w:t>
      </w:r>
      <w:r>
        <w:rPr>
          <w:color w:val="000000" w:themeColor="text1"/>
          <w:szCs w:val="21"/>
          <w:vertAlign w:val="subscript"/>
          <w14:textFill>
            <w14:solidFill>
              <w14:schemeClr w14:val="tx1"/>
            </w14:solidFill>
          </w14:textFill>
        </w:rPr>
        <w:t>18</w:t>
      </w:r>
      <w:r>
        <w:rPr>
          <w:color w:val="000000" w:themeColor="text1"/>
          <w:szCs w:val="21"/>
          <w14:textFill>
            <w14:solidFill>
              <w14:schemeClr w14:val="tx1"/>
            </w14:solidFill>
          </w14:textFill>
        </w:rPr>
        <w:t>柱（4.6 mm×150 mm，3.0 μm），或等效色谱柱；</w:t>
      </w:r>
    </w:p>
    <w:p>
      <w:pPr>
        <w:snapToGrid w:val="0"/>
        <w:spacing w:before="156" w:beforeLines="50" w:after="156" w:afterLines="50" w:line="30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流动相：A：0.05%甲酸溶液（3.6），B：甲醇（3.2）；梯度洗脱程序见表1；</w:t>
      </w:r>
    </w:p>
    <w:p>
      <w:pPr>
        <w:snapToGrid w:val="0"/>
        <w:spacing w:before="156" w:beforeLines="50" w:after="156" w:afterLines="50" w:line="30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表1  流动相梯度洗脱程序</w:t>
      </w:r>
    </w:p>
    <w:tbl>
      <w:tblPr>
        <w:tblStyle w:val="9"/>
        <w:tblW w:w="8522" w:type="dxa"/>
        <w:jc w:val="center"/>
        <w:tblInd w:w="0" w:type="dxa"/>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0"/>
        <w:gridCol w:w="3116"/>
        <w:gridCol w:w="3116"/>
      </w:tblGrid>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2290" w:type="dxa"/>
            <w:tcBorders>
              <w:top w:val="single" w:color="000000" w:sz="2" w:space="0"/>
              <w:bottom w:val="single" w:color="000000" w:sz="2" w:space="0"/>
            </w:tcBorders>
          </w:tcPr>
          <w:p>
            <w:pPr>
              <w:spacing w:line="30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时间/min</w:t>
            </w:r>
          </w:p>
        </w:tc>
        <w:tc>
          <w:tcPr>
            <w:tcW w:w="3116" w:type="dxa"/>
            <w:tcBorders>
              <w:top w:val="single" w:color="000000" w:sz="2" w:space="0"/>
              <w:bottom w:val="single" w:color="000000" w:sz="2" w:space="0"/>
            </w:tcBorders>
          </w:tcPr>
          <w:p>
            <w:pPr>
              <w:spacing w:line="30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V（A）/%</w:t>
            </w:r>
          </w:p>
        </w:tc>
        <w:tc>
          <w:tcPr>
            <w:tcW w:w="3116" w:type="dxa"/>
            <w:tcBorders>
              <w:top w:val="single" w:color="000000" w:sz="2" w:space="0"/>
              <w:bottom w:val="single" w:color="000000" w:sz="2" w:space="0"/>
            </w:tcBorders>
          </w:tcPr>
          <w:p>
            <w:pPr>
              <w:spacing w:line="30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V（B）/%</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90" w:type="dxa"/>
            <w:tcBorders>
              <w:top w:val="single" w:color="000000" w:sz="2" w:space="0"/>
            </w:tcBorders>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w:t>
            </w:r>
          </w:p>
        </w:tc>
        <w:tc>
          <w:tcPr>
            <w:tcW w:w="3116" w:type="dxa"/>
            <w:tcBorders>
              <w:top w:val="single" w:color="000000" w:sz="2" w:space="0"/>
            </w:tcBorders>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3116" w:type="dxa"/>
            <w:tcBorders>
              <w:top w:val="single" w:color="000000" w:sz="2" w:space="0"/>
            </w:tcBorders>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90"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90"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8.5</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90"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90"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13.0</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3116" w:type="dxa"/>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90" w:type="dxa"/>
            <w:tcBorders>
              <w:bottom w:val="single" w:color="000000" w:sz="2" w:space="0"/>
            </w:tcBorders>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19.0</w:t>
            </w:r>
          </w:p>
        </w:tc>
        <w:tc>
          <w:tcPr>
            <w:tcW w:w="3116" w:type="dxa"/>
            <w:tcBorders>
              <w:bottom w:val="single" w:color="000000" w:sz="2" w:space="0"/>
            </w:tcBorders>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w:t>
            </w:r>
          </w:p>
        </w:tc>
        <w:tc>
          <w:tcPr>
            <w:tcW w:w="3116" w:type="dxa"/>
            <w:tcBorders>
              <w:bottom w:val="single" w:color="000000" w:sz="2" w:space="0"/>
            </w:tcBorders>
            <w:vAlign w:val="center"/>
          </w:tcPr>
          <w:p>
            <w:pPr>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bl>
    <w:p>
      <w:pPr>
        <w:snapToGrid w:val="0"/>
        <w:spacing w:before="156" w:beforeLines="50" w:after="156" w:afterLines="50" w:line="30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流速：0.3 mL/min；</w:t>
      </w:r>
    </w:p>
    <w:p>
      <w:pPr>
        <w:snapToGrid w:val="0"/>
        <w:spacing w:before="156" w:beforeLines="50" w:after="156" w:afterLines="50" w:line="30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柱温：25 </w:t>
      </w: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w:t>
      </w:r>
    </w:p>
    <w:p>
      <w:pPr>
        <w:snapToGrid w:val="0"/>
        <w:spacing w:before="156" w:beforeLines="50" w:after="156" w:afterLines="50" w:line="30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进样量：10 μL。</w:t>
      </w:r>
    </w:p>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5.3.2  质谱条件</w:t>
      </w:r>
    </w:p>
    <w:p>
      <w:pPr>
        <w:snapToGrid w:val="0"/>
        <w:spacing w:before="156" w:beforeLines="50" w:after="156" w:afterLines="50" w:line="30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离子源： 电喷雾离子源（ESI源）；</w:t>
      </w:r>
    </w:p>
    <w:p>
      <w:pPr>
        <w:snapToGrid w:val="0"/>
        <w:spacing w:before="156" w:beforeLines="50" w:after="156" w:afterLines="50"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监测模式： 正离子监测模式；</w:t>
      </w:r>
      <w:r>
        <w:rPr>
          <w:rStyle w:val="16"/>
          <w:color w:val="000000" w:themeColor="text1"/>
          <w14:textFill>
            <w14:solidFill>
              <w14:schemeClr w14:val="tx1"/>
            </w14:solidFill>
          </w14:textFill>
        </w:rPr>
        <w:t>监测离子对及相关参数设定见表2（可根据仪器情况调整）</w:t>
      </w:r>
      <w:r>
        <w:rPr>
          <w:color w:val="000000" w:themeColor="text1"/>
          <w14:textFill>
            <w14:solidFill>
              <w14:schemeClr w14:val="tx1"/>
            </w14:solidFill>
          </w14:textFill>
        </w:rPr>
        <w:t>。</w:t>
      </w:r>
    </w:p>
    <w:p>
      <w:pPr>
        <w:snapToGrid w:val="0"/>
        <w:spacing w:before="156" w:beforeLines="50" w:after="156" w:afterLines="50" w:line="300" w:lineRule="auto"/>
        <w:jc w:val="center"/>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表2  监测离子对及相关电压参数设定表</w:t>
      </w:r>
    </w:p>
    <w:tbl>
      <w:tblPr>
        <w:tblStyle w:val="9"/>
        <w:tblW w:w="8519"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2181"/>
        <w:gridCol w:w="2012"/>
        <w:gridCol w:w="1961"/>
        <w:gridCol w:w="14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blHeader/>
          <w:jc w:val="center"/>
        </w:trPr>
        <w:tc>
          <w:tcPr>
            <w:tcW w:w="964" w:type="dxa"/>
            <w:tcBorders>
              <w:top w:val="single" w:color="auto" w:sz="4" w:space="0"/>
              <w:bottom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编号</w:t>
            </w:r>
          </w:p>
        </w:tc>
        <w:tc>
          <w:tcPr>
            <w:tcW w:w="2181" w:type="dxa"/>
            <w:tcBorders>
              <w:top w:val="single" w:color="auto" w:sz="4" w:space="0"/>
              <w:bottom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物质名称</w:t>
            </w:r>
          </w:p>
        </w:tc>
        <w:tc>
          <w:tcPr>
            <w:tcW w:w="2012" w:type="dxa"/>
            <w:tcBorders>
              <w:top w:val="single" w:color="auto" w:sz="4" w:space="0"/>
              <w:bottom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母离子（m/z）</w:t>
            </w:r>
          </w:p>
        </w:tc>
        <w:tc>
          <w:tcPr>
            <w:tcW w:w="1961" w:type="dxa"/>
            <w:tcBorders>
              <w:top w:val="single" w:color="auto" w:sz="4" w:space="0"/>
              <w:bottom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子离子（m/z）</w:t>
            </w:r>
          </w:p>
        </w:tc>
        <w:tc>
          <w:tcPr>
            <w:tcW w:w="1401" w:type="dxa"/>
            <w:tcBorders>
              <w:top w:val="single" w:color="auto" w:sz="4" w:space="0"/>
              <w:bottom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CE（eV）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jc w:val="center"/>
        </w:trPr>
        <w:tc>
          <w:tcPr>
            <w:tcW w:w="964" w:type="dxa"/>
            <w:vMerge w:val="restart"/>
            <w:tcBorders>
              <w:top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1</w:t>
            </w:r>
          </w:p>
        </w:tc>
        <w:tc>
          <w:tcPr>
            <w:tcW w:w="2181" w:type="dxa"/>
            <w:vMerge w:val="restart"/>
            <w:tcBorders>
              <w:top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丙烯酰胺</w:t>
            </w:r>
          </w:p>
        </w:tc>
        <w:tc>
          <w:tcPr>
            <w:tcW w:w="2012" w:type="dxa"/>
            <w:vMerge w:val="restart"/>
            <w:tcBorders>
              <w:top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72.0</w:t>
            </w:r>
          </w:p>
        </w:tc>
        <w:tc>
          <w:tcPr>
            <w:tcW w:w="1961" w:type="dxa"/>
            <w:tcBorders>
              <w:top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55.0*</w:t>
            </w:r>
          </w:p>
        </w:tc>
        <w:tc>
          <w:tcPr>
            <w:tcW w:w="1401" w:type="dxa"/>
            <w:tcBorders>
              <w:top w:val="single" w:color="auto" w:sz="4" w:space="0"/>
            </w:tcBorders>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18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64" w:type="dxa"/>
            <w:vMerge w:val="continue"/>
            <w:vAlign w:val="center"/>
          </w:tcPr>
          <w:p>
            <w:pPr>
              <w:jc w:val="center"/>
              <w:rPr>
                <w:color w:val="000000" w:themeColor="text1"/>
                <w:szCs w:val="18"/>
                <w14:textFill>
                  <w14:solidFill>
                    <w14:schemeClr w14:val="tx1"/>
                  </w14:solidFill>
                </w14:textFill>
              </w:rPr>
            </w:pPr>
          </w:p>
        </w:tc>
        <w:tc>
          <w:tcPr>
            <w:tcW w:w="2181" w:type="dxa"/>
            <w:vMerge w:val="continue"/>
            <w:vAlign w:val="center"/>
          </w:tcPr>
          <w:p>
            <w:pPr>
              <w:jc w:val="center"/>
              <w:rPr>
                <w:color w:val="000000" w:themeColor="text1"/>
                <w:kern w:val="0"/>
                <w:szCs w:val="18"/>
                <w14:textFill>
                  <w14:solidFill>
                    <w14:schemeClr w14:val="tx1"/>
                  </w14:solidFill>
                </w14:textFill>
              </w:rPr>
            </w:pPr>
          </w:p>
        </w:tc>
        <w:tc>
          <w:tcPr>
            <w:tcW w:w="2012" w:type="dxa"/>
            <w:vMerge w:val="continue"/>
            <w:vAlign w:val="center"/>
          </w:tcPr>
          <w:p>
            <w:pPr>
              <w:jc w:val="center"/>
              <w:rPr>
                <w:color w:val="000000" w:themeColor="text1"/>
                <w:szCs w:val="18"/>
                <w14:textFill>
                  <w14:solidFill>
                    <w14:schemeClr w14:val="tx1"/>
                  </w14:solidFill>
                </w14:textFill>
              </w:rPr>
            </w:pPr>
          </w:p>
        </w:tc>
        <w:tc>
          <w:tcPr>
            <w:tcW w:w="1961" w:type="dxa"/>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54.0</w:t>
            </w:r>
          </w:p>
        </w:tc>
        <w:tc>
          <w:tcPr>
            <w:tcW w:w="1401" w:type="dxa"/>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64" w:type="dxa"/>
            <w:vMerge w:val="restart"/>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2</w:t>
            </w:r>
          </w:p>
        </w:tc>
        <w:tc>
          <w:tcPr>
            <w:tcW w:w="2181" w:type="dxa"/>
            <w:vMerge w:val="restart"/>
            <w:vAlign w:val="center"/>
          </w:tcPr>
          <w:p>
            <w:pPr>
              <w:jc w:val="center"/>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内标</w:t>
            </w:r>
          </w:p>
        </w:tc>
        <w:tc>
          <w:tcPr>
            <w:tcW w:w="2012" w:type="dxa"/>
            <w:vMerge w:val="restart"/>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75.0</w:t>
            </w:r>
          </w:p>
        </w:tc>
        <w:tc>
          <w:tcPr>
            <w:tcW w:w="1961" w:type="dxa"/>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58.0*</w:t>
            </w:r>
          </w:p>
        </w:tc>
        <w:tc>
          <w:tcPr>
            <w:tcW w:w="1401" w:type="dxa"/>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18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64" w:type="dxa"/>
            <w:vMerge w:val="continue"/>
            <w:vAlign w:val="center"/>
          </w:tcPr>
          <w:p>
            <w:pPr>
              <w:jc w:val="center"/>
              <w:rPr>
                <w:color w:val="000000" w:themeColor="text1"/>
                <w:szCs w:val="18"/>
                <w14:textFill>
                  <w14:solidFill>
                    <w14:schemeClr w14:val="tx1"/>
                  </w14:solidFill>
                </w14:textFill>
              </w:rPr>
            </w:pPr>
          </w:p>
        </w:tc>
        <w:tc>
          <w:tcPr>
            <w:tcW w:w="2181" w:type="dxa"/>
            <w:vMerge w:val="continue"/>
            <w:vAlign w:val="center"/>
          </w:tcPr>
          <w:p>
            <w:pPr>
              <w:jc w:val="center"/>
              <w:rPr>
                <w:color w:val="000000" w:themeColor="text1"/>
                <w:szCs w:val="18"/>
                <w14:textFill>
                  <w14:solidFill>
                    <w14:schemeClr w14:val="tx1"/>
                  </w14:solidFill>
                </w14:textFill>
              </w:rPr>
            </w:pPr>
          </w:p>
        </w:tc>
        <w:tc>
          <w:tcPr>
            <w:tcW w:w="2012" w:type="dxa"/>
            <w:vMerge w:val="continue"/>
            <w:vAlign w:val="center"/>
          </w:tcPr>
          <w:p>
            <w:pPr>
              <w:jc w:val="center"/>
              <w:rPr>
                <w:color w:val="000000" w:themeColor="text1"/>
                <w:szCs w:val="18"/>
                <w14:textFill>
                  <w14:solidFill>
                    <w14:schemeClr w14:val="tx1"/>
                  </w14:solidFill>
                </w14:textFill>
              </w:rPr>
            </w:pPr>
          </w:p>
        </w:tc>
        <w:tc>
          <w:tcPr>
            <w:tcW w:w="1961" w:type="dxa"/>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44.0</w:t>
            </w:r>
          </w:p>
        </w:tc>
        <w:tc>
          <w:tcPr>
            <w:tcW w:w="1401" w:type="dxa"/>
            <w:vAlign w:val="center"/>
          </w:tcPr>
          <w:p>
            <w:pPr>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27</w:t>
            </w:r>
          </w:p>
        </w:tc>
      </w:tr>
    </w:tbl>
    <w:p>
      <w:pPr>
        <w:snapToGrid w:val="0"/>
        <w:spacing w:before="156" w:beforeLines="50" w:after="156" w:afterLines="50" w:line="300" w:lineRule="auto"/>
        <w:ind w:firstLine="420"/>
        <w:rPr>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注：</w:t>
      </w:r>
      <w:r>
        <w:rPr>
          <w:rFonts w:hint="eastAsia" w:eastAsia="黑体"/>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eastAsia="黑体"/>
          <w:color w:val="000000" w:themeColor="text1"/>
          <w:szCs w:val="21"/>
          <w14:textFill>
            <w14:solidFill>
              <w14:schemeClr w14:val="tx1"/>
            </w14:solidFill>
          </w14:textFill>
        </w:rPr>
        <w:t>”</w:t>
      </w:r>
      <w:r>
        <w:rPr>
          <w:color w:val="000000" w:themeColor="text1"/>
          <w:szCs w:val="21"/>
          <w14:textFill>
            <w14:solidFill>
              <w14:schemeClr w14:val="tx1"/>
            </w14:solidFill>
          </w14:textFill>
        </w:rPr>
        <w:t>为</w:t>
      </w:r>
      <w:r>
        <w:rPr>
          <w:color w:val="000000" w:themeColor="text1"/>
          <w:kern w:val="0"/>
          <w:szCs w:val="21"/>
          <w14:textFill>
            <w14:solidFill>
              <w14:schemeClr w14:val="tx1"/>
            </w14:solidFill>
          </w14:textFill>
        </w:rPr>
        <w:t>丙烯酰胺</w:t>
      </w:r>
      <w:r>
        <w:rPr>
          <w:color w:val="000000" w:themeColor="text1"/>
          <w:szCs w:val="21"/>
          <w14:textFill>
            <w14:solidFill>
              <w14:schemeClr w14:val="tx1"/>
            </w14:solidFill>
          </w14:textFill>
        </w:rPr>
        <w:t>定量离子。m/z 54.0、m/z 44.0为</w:t>
      </w:r>
      <w:r>
        <w:rPr>
          <w:color w:val="000000" w:themeColor="text1"/>
          <w:kern w:val="0"/>
          <w:szCs w:val="21"/>
          <w14:textFill>
            <w14:solidFill>
              <w14:schemeClr w14:val="tx1"/>
            </w14:solidFill>
          </w14:textFill>
        </w:rPr>
        <w:t>丙烯酰胺</w:t>
      </w:r>
      <w:r>
        <w:rPr>
          <w:color w:val="000000" w:themeColor="text1"/>
          <w:szCs w:val="21"/>
          <w14:textFill>
            <w14:solidFill>
              <w14:schemeClr w14:val="tx1"/>
            </w14:solidFill>
          </w14:textFill>
        </w:rPr>
        <w:t>定性离子，可根据所用仪器的实际情况进行选择。</w:t>
      </w:r>
    </w:p>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5.4  定性判定</w:t>
      </w:r>
    </w:p>
    <w:p>
      <w:pPr>
        <w:tabs>
          <w:tab w:val="left" w:pos="5745"/>
        </w:tabs>
        <w:snapToGrid w:val="0"/>
        <w:spacing w:before="156" w:beforeLines="50" w:after="156" w:afterLines="50"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用液相色谱-串联质谱法对样品进行定性判定，在相同试验条件下，样品中应呈现定量离子和至少一个定性离子的色谱峰，样品中各离子的保留时间应与标准溶液中各离子的保留时间一致；样品色谱图中所选择的监测离子的相对丰度比与相当浓度标准溶液的离子相对丰度比的偏差不超过表3规定范围，则可以判断样品中存在丙烯酰胺。</w:t>
      </w:r>
    </w:p>
    <w:p>
      <w:pPr>
        <w:snapToGrid w:val="0"/>
        <w:spacing w:before="156" w:beforeLines="50" w:after="156" w:afterLines="50" w:line="300" w:lineRule="auto"/>
        <w:jc w:val="center"/>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表3</w:t>
      </w:r>
      <w:r>
        <w:rPr>
          <w:rFonts w:hint="eastAsia" w:eastAsia="黑体"/>
          <w:bCs/>
          <w:color w:val="000000" w:themeColor="text1"/>
          <w:szCs w:val="21"/>
          <w14:textFill>
            <w14:solidFill>
              <w14:schemeClr w14:val="tx1"/>
            </w14:solidFill>
          </w14:textFill>
        </w:rPr>
        <w:t xml:space="preserve">  </w:t>
      </w:r>
      <w:r>
        <w:rPr>
          <w:rFonts w:eastAsia="黑体"/>
          <w:bCs/>
          <w:color w:val="000000" w:themeColor="text1"/>
          <w:szCs w:val="21"/>
          <w14:textFill>
            <w14:solidFill>
              <w14:schemeClr w14:val="tx1"/>
            </w14:solidFill>
          </w14:textFill>
        </w:rPr>
        <w:t>定性确证时相对离子丰度的最大允许偏差</w:t>
      </w:r>
    </w:p>
    <w:tbl>
      <w:tblPr>
        <w:tblStyle w:val="9"/>
        <w:tblW w:w="8709"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27"/>
        <w:gridCol w:w="1648"/>
        <w:gridCol w:w="1735"/>
        <w:gridCol w:w="1774"/>
        <w:gridCol w:w="142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13" w:hRule="atLeast"/>
          <w:jc w:val="center"/>
        </w:trPr>
        <w:tc>
          <w:tcPr>
            <w:tcW w:w="2127" w:type="dxa"/>
            <w:vAlign w:val="center"/>
          </w:tcPr>
          <w:p>
            <w:pPr>
              <w:tabs>
                <w:tab w:val="left" w:pos="5745"/>
              </w:tabs>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相对离子丰度（k）</w:t>
            </w:r>
          </w:p>
        </w:tc>
        <w:tc>
          <w:tcPr>
            <w:tcW w:w="1648"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k&gt;50%</w:t>
            </w:r>
          </w:p>
        </w:tc>
        <w:tc>
          <w:tcPr>
            <w:tcW w:w="1735"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50%≥k&gt; 20%</w:t>
            </w:r>
          </w:p>
        </w:tc>
        <w:tc>
          <w:tcPr>
            <w:tcW w:w="1774"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20%≥k&gt;10%</w:t>
            </w:r>
          </w:p>
        </w:tc>
        <w:tc>
          <w:tcPr>
            <w:tcW w:w="1425"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k≤10%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13" w:hRule="atLeast"/>
          <w:jc w:val="center"/>
        </w:trPr>
        <w:tc>
          <w:tcPr>
            <w:tcW w:w="2127" w:type="dxa"/>
            <w:vAlign w:val="center"/>
          </w:tcPr>
          <w:p>
            <w:pPr>
              <w:tabs>
                <w:tab w:val="left" w:pos="5745"/>
              </w:tabs>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允许的最大偏差</w:t>
            </w:r>
          </w:p>
        </w:tc>
        <w:tc>
          <w:tcPr>
            <w:tcW w:w="1648"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c>
          <w:tcPr>
            <w:tcW w:w="1735"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1774"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w:t>
            </w:r>
          </w:p>
        </w:tc>
        <w:tc>
          <w:tcPr>
            <w:tcW w:w="1425"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r>
    </w:tbl>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5.5  定量测定</w:t>
      </w:r>
    </w:p>
    <w:p>
      <w:pPr>
        <w:snapToGrid w:val="0"/>
        <w:spacing w:before="50" w:after="50"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在</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项液相色谱-三重四极杆质谱联用条件下，取标准系列溶液（5.1）分别进样，以丙烯酰胺的质量分数为横坐标，丙烯酰胺峰面积与内标峰面积的比值为纵坐标，进行线性回归，绘制标准曲线，其线性相关系数应大于0.995。</w:t>
      </w:r>
    </w:p>
    <w:p>
      <w:pPr>
        <w:snapToGrid w:val="0"/>
        <w:spacing w:before="50" w:after="50"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取</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5.2</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项下处理得到的待测溶液进样，将丙烯酰胺峰面积与内标峰面积的比值代入标准曲线，计算丙烯酰胺的质量分数，按</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项下公式，计算样品中丙烯酰胺的含量。</w:t>
      </w:r>
    </w:p>
    <w:p>
      <w:pPr>
        <w:snapToGrid w:val="0"/>
        <w:spacing w:before="156" w:beforeLines="50" w:after="156" w:afterLines="50" w:line="300" w:lineRule="auto"/>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6  分析结果的表述</w:t>
      </w:r>
    </w:p>
    <w:p>
      <w:pPr>
        <w:snapToGrid w:val="0"/>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6.1  计算</w:t>
      </w:r>
    </w:p>
    <w:tbl>
      <w:tblPr>
        <w:tblStyle w:val="9"/>
        <w:tblW w:w="2320" w:type="dxa"/>
        <w:jc w:val="center"/>
        <w:tblInd w:w="0" w:type="dxa"/>
        <w:tblLayout w:type="fixed"/>
        <w:tblCellMar>
          <w:top w:w="0" w:type="dxa"/>
          <w:left w:w="108" w:type="dxa"/>
          <w:bottom w:w="0" w:type="dxa"/>
          <w:right w:w="108" w:type="dxa"/>
        </w:tblCellMar>
      </w:tblPr>
      <w:tblGrid>
        <w:gridCol w:w="1160"/>
        <w:gridCol w:w="1160"/>
      </w:tblGrid>
      <w:tr>
        <w:tblPrEx>
          <w:tblLayout w:type="fixed"/>
          <w:tblCellMar>
            <w:top w:w="0" w:type="dxa"/>
            <w:left w:w="108" w:type="dxa"/>
            <w:bottom w:w="0" w:type="dxa"/>
            <w:right w:w="108" w:type="dxa"/>
          </w:tblCellMar>
        </w:tblPrEx>
        <w:trPr>
          <w:trHeight w:val="255" w:hRule="atLeast"/>
          <w:jc w:val="center"/>
        </w:trPr>
        <w:tc>
          <w:tcPr>
            <w:tcW w:w="1160" w:type="dxa"/>
            <w:vMerge w:val="restart"/>
            <w:tcBorders>
              <w:top w:val="nil"/>
              <w:left w:val="nil"/>
              <w:bottom w:val="nil"/>
              <w:right w:val="nil"/>
            </w:tcBorders>
            <w:vAlign w:val="center"/>
          </w:tcPr>
          <w:p>
            <w:pPr>
              <w:widowControl/>
              <w:spacing w:line="300" w:lineRule="auto"/>
              <w:jc w:val="right"/>
              <w:rPr>
                <w:i/>
                <w:iCs/>
                <w:color w:val="000000" w:themeColor="text1"/>
                <w:kern w:val="0"/>
                <w:szCs w:val="21"/>
                <w14:textFill>
                  <w14:solidFill>
                    <w14:schemeClr w14:val="tx1"/>
                  </w14:solidFill>
                </w14:textFill>
              </w:rPr>
            </w:pPr>
            <w:r>
              <w:rPr>
                <w:i/>
                <w:iCs/>
                <w:color w:val="000000" w:themeColor="text1"/>
                <w:kern w:val="0"/>
                <w:szCs w:val="21"/>
                <w14:textFill>
                  <w14:solidFill>
                    <w14:schemeClr w14:val="tx1"/>
                  </w14:solidFill>
                </w14:textFill>
              </w:rPr>
              <w:t xml:space="preserve">ω = </w:t>
            </w:r>
          </w:p>
        </w:tc>
        <w:tc>
          <w:tcPr>
            <w:tcW w:w="1160" w:type="dxa"/>
            <w:tcBorders>
              <w:top w:val="nil"/>
              <w:left w:val="nil"/>
              <w:bottom w:val="single" w:color="auto" w:sz="4" w:space="0"/>
              <w:right w:val="nil"/>
            </w:tcBorders>
          </w:tcPr>
          <w:p>
            <w:pPr>
              <w:widowControl/>
              <w:spacing w:line="300" w:lineRule="auto"/>
              <w:jc w:val="center"/>
              <w:rPr>
                <w:i/>
                <w:iCs/>
                <w:color w:val="000000" w:themeColor="text1"/>
                <w:kern w:val="0"/>
                <w:szCs w:val="21"/>
                <w14:textFill>
                  <w14:solidFill>
                    <w14:schemeClr w14:val="tx1"/>
                  </w14:solidFill>
                </w14:textFill>
              </w:rPr>
            </w:pPr>
            <w:r>
              <w:rPr>
                <w:i/>
                <w:iCs/>
                <w:color w:val="000000" w:themeColor="text1"/>
                <w:kern w:val="0"/>
                <w:szCs w:val="21"/>
                <w14:textFill>
                  <w14:solidFill>
                    <w14:schemeClr w14:val="tx1"/>
                  </w14:solidFill>
                </w14:textFill>
              </w:rPr>
              <w:t xml:space="preserve">C </w:t>
            </w:r>
            <w:r>
              <w:rPr>
                <w:color w:val="000000" w:themeColor="text1"/>
                <w:kern w:val="0"/>
                <w:szCs w:val="21"/>
                <w14:textFill>
                  <w14:solidFill>
                    <w14:schemeClr w14:val="tx1"/>
                  </w14:solidFill>
                </w14:textFill>
              </w:rPr>
              <w:t>× 1.0</w:t>
            </w:r>
          </w:p>
        </w:tc>
      </w:tr>
      <w:tr>
        <w:tblPrEx>
          <w:tblLayout w:type="fixed"/>
          <w:tblCellMar>
            <w:top w:w="0" w:type="dxa"/>
            <w:left w:w="108" w:type="dxa"/>
            <w:bottom w:w="0" w:type="dxa"/>
            <w:right w:w="108" w:type="dxa"/>
          </w:tblCellMar>
        </w:tblPrEx>
        <w:trPr>
          <w:trHeight w:val="255" w:hRule="atLeast"/>
          <w:jc w:val="center"/>
        </w:trPr>
        <w:tc>
          <w:tcPr>
            <w:tcW w:w="1160" w:type="dxa"/>
            <w:vMerge w:val="continue"/>
            <w:tcBorders>
              <w:top w:val="nil"/>
              <w:left w:val="nil"/>
              <w:bottom w:val="nil"/>
              <w:right w:val="nil"/>
            </w:tcBorders>
            <w:vAlign w:val="center"/>
          </w:tcPr>
          <w:p>
            <w:pPr>
              <w:widowControl/>
              <w:spacing w:line="300" w:lineRule="auto"/>
              <w:rPr>
                <w:i/>
                <w:iCs/>
                <w:color w:val="000000" w:themeColor="text1"/>
                <w:kern w:val="0"/>
                <w:szCs w:val="21"/>
                <w14:textFill>
                  <w14:solidFill>
                    <w14:schemeClr w14:val="tx1"/>
                  </w14:solidFill>
                </w14:textFill>
              </w:rPr>
            </w:pPr>
          </w:p>
        </w:tc>
        <w:tc>
          <w:tcPr>
            <w:tcW w:w="1160" w:type="dxa"/>
            <w:tcBorders>
              <w:top w:val="nil"/>
              <w:left w:val="nil"/>
              <w:bottom w:val="nil"/>
              <w:right w:val="nil"/>
            </w:tcBorders>
          </w:tcPr>
          <w:p>
            <w:pPr>
              <w:widowControl/>
              <w:spacing w:line="300" w:lineRule="auto"/>
              <w:jc w:val="center"/>
              <w:rPr>
                <w:i/>
                <w:iCs/>
                <w:color w:val="000000" w:themeColor="text1"/>
                <w:kern w:val="0"/>
                <w:szCs w:val="21"/>
                <w14:textFill>
                  <w14:solidFill>
                    <w14:schemeClr w14:val="tx1"/>
                  </w14:solidFill>
                </w14:textFill>
              </w:rPr>
            </w:pPr>
            <w:r>
              <w:rPr>
                <w:i/>
                <w:iCs/>
                <w:color w:val="000000" w:themeColor="text1"/>
                <w:kern w:val="0"/>
                <w:szCs w:val="21"/>
                <w14:textFill>
                  <w14:solidFill>
                    <w14:schemeClr w14:val="tx1"/>
                  </w14:solidFill>
                </w14:textFill>
              </w:rPr>
              <w:t xml:space="preserve">m </w:t>
            </w:r>
          </w:p>
        </w:tc>
      </w:tr>
    </w:tbl>
    <w:p>
      <w:pPr>
        <w:tabs>
          <w:tab w:val="left" w:pos="5745"/>
        </w:tabs>
        <w:spacing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式中：</w:t>
      </w:r>
      <w:r>
        <w:rPr>
          <w:i/>
          <w:iCs/>
          <w:color w:val="000000" w:themeColor="text1"/>
          <w:kern w:val="0"/>
          <w:szCs w:val="21"/>
          <w14:textFill>
            <w14:solidFill>
              <w14:schemeClr w14:val="tx1"/>
            </w14:solidFill>
          </w14:textFill>
        </w:rPr>
        <w:t>ω</w:t>
      </w:r>
      <w:r>
        <w:rPr>
          <w:color w:val="000000" w:themeColor="text1"/>
          <w:kern w:val="0"/>
          <w:szCs w:val="21"/>
          <w14:textFill>
            <w14:solidFill>
              <w14:schemeClr w14:val="tx1"/>
            </w14:solidFill>
          </w14:textFill>
        </w:rPr>
        <w:t>—— 化妆品中</w:t>
      </w:r>
      <w:r>
        <w:rPr>
          <w:color w:val="000000" w:themeColor="text1"/>
          <w:szCs w:val="21"/>
          <w14:textFill>
            <w14:solidFill>
              <w14:schemeClr w14:val="tx1"/>
            </w14:solidFill>
          </w14:textFill>
        </w:rPr>
        <w:t>丙烯酰胺</w:t>
      </w:r>
      <w:r>
        <w:rPr>
          <w:color w:val="000000" w:themeColor="text1"/>
          <w:kern w:val="0"/>
          <w:szCs w:val="21"/>
          <w14:textFill>
            <w14:solidFill>
              <w14:schemeClr w14:val="tx1"/>
            </w14:solidFill>
          </w14:textFill>
        </w:rPr>
        <w:t>的含量，mg/kg；</w:t>
      </w:r>
    </w:p>
    <w:p>
      <w:pPr>
        <w:spacing w:line="300" w:lineRule="auto"/>
        <w:ind w:firstLine="1050" w:firstLineChars="500"/>
        <w:rPr>
          <w:color w:val="000000" w:themeColor="text1"/>
          <w:kern w:val="0"/>
          <w:szCs w:val="21"/>
          <w14:textFill>
            <w14:solidFill>
              <w14:schemeClr w14:val="tx1"/>
            </w14:solidFill>
          </w14:textFill>
        </w:rPr>
      </w:pPr>
      <w:r>
        <w:rPr>
          <w:i/>
          <w:iCs/>
          <w:color w:val="000000" w:themeColor="text1"/>
          <w:kern w:val="0"/>
          <w:szCs w:val="21"/>
          <w14:textFill>
            <w14:solidFill>
              <w14:schemeClr w14:val="tx1"/>
            </w14:solidFill>
          </w14:textFill>
        </w:rPr>
        <w:t xml:space="preserve">C </w:t>
      </w:r>
      <w:r>
        <w:rPr>
          <w:color w:val="000000" w:themeColor="text1"/>
          <w:kern w:val="0"/>
          <w:szCs w:val="21"/>
          <w14:textFill>
            <w14:solidFill>
              <w14:schemeClr w14:val="tx1"/>
            </w14:solidFill>
          </w14:textFill>
        </w:rPr>
        <w:t>—— 从标准曲线得到的</w:t>
      </w:r>
      <w:r>
        <w:rPr>
          <w:color w:val="000000" w:themeColor="text1"/>
          <w:szCs w:val="21"/>
          <w14:textFill>
            <w14:solidFill>
              <w14:schemeClr w14:val="tx1"/>
            </w14:solidFill>
          </w14:textFill>
        </w:rPr>
        <w:t>丙烯酰质量分数</w:t>
      </w:r>
      <w:r>
        <w:rPr>
          <w:color w:val="000000" w:themeColor="text1"/>
          <w:kern w:val="0"/>
          <w:szCs w:val="21"/>
          <w14:textFill>
            <w14:solidFill>
              <w14:schemeClr w14:val="tx1"/>
            </w14:solidFill>
          </w14:textFill>
        </w:rPr>
        <w:t>，mg/kg；</w:t>
      </w:r>
    </w:p>
    <w:p>
      <w:pPr>
        <w:spacing w:line="300" w:lineRule="auto"/>
        <w:ind w:firstLine="1050" w:firstLineChars="500"/>
        <w:rPr>
          <w:color w:val="000000" w:themeColor="text1"/>
          <w:kern w:val="0"/>
          <w:szCs w:val="21"/>
          <w14:textFill>
            <w14:solidFill>
              <w14:schemeClr w14:val="tx1"/>
            </w14:solidFill>
          </w14:textFill>
        </w:rPr>
      </w:pPr>
      <w:r>
        <w:rPr>
          <w:i/>
          <w:iCs/>
          <w:color w:val="000000" w:themeColor="text1"/>
          <w:kern w:val="0"/>
          <w:szCs w:val="21"/>
          <w14:textFill>
            <w14:solidFill>
              <w14:schemeClr w14:val="tx1"/>
            </w14:solidFill>
          </w14:textFill>
        </w:rPr>
        <w:t xml:space="preserve">m </w:t>
      </w:r>
      <w:r>
        <w:rPr>
          <w:color w:val="000000" w:themeColor="text1"/>
          <w:kern w:val="0"/>
          <w:szCs w:val="21"/>
          <w14:textFill>
            <w14:solidFill>
              <w14:schemeClr w14:val="tx1"/>
            </w14:solidFill>
          </w14:textFill>
        </w:rPr>
        <w:t>—— 样品称取量，g。</w:t>
      </w:r>
    </w:p>
    <w:p>
      <w:pPr>
        <w:spacing w:line="300" w:lineRule="auto"/>
        <w:ind w:firstLine="1050" w:firstLineChars="5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1.0 —— 样品称取量理论值，g。</w:t>
      </w:r>
    </w:p>
    <w:p>
      <w:pPr>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在重复性条件下获得的两次独立测试结果的绝对差值不得超过算术平均值的15%。</w:t>
      </w:r>
    </w:p>
    <w:p>
      <w:pPr>
        <w:spacing w:before="156" w:beforeLines="50" w:after="156" w:afterLines="50" w:line="300" w:lineRule="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6.2  回收率和精密度</w:t>
      </w:r>
    </w:p>
    <w:p>
      <w:pPr>
        <w:spacing w:line="300" w:lineRule="auto"/>
        <w:ind w:firstLine="418"/>
        <w:rPr>
          <w:bCs/>
          <w:color w:val="000000" w:themeColor="text1"/>
          <w:szCs w:val="21"/>
          <w14:textFill>
            <w14:solidFill>
              <w14:schemeClr w14:val="tx1"/>
            </w14:solidFill>
          </w14:textFill>
        </w:rPr>
      </w:pPr>
      <w:r>
        <w:rPr>
          <w:color w:val="000000" w:themeColor="text1"/>
          <w:szCs w:val="21"/>
          <w14:textFill>
            <w14:solidFill>
              <w14:schemeClr w14:val="tx1"/>
            </w14:solidFill>
          </w14:textFill>
        </w:rPr>
        <w:t>多家实验室的回收率为</w:t>
      </w:r>
      <w:r>
        <w:rPr>
          <w:bCs/>
          <w:color w:val="000000" w:themeColor="text1"/>
          <w:szCs w:val="21"/>
          <w14:textFill>
            <w14:solidFill>
              <w14:schemeClr w14:val="tx1"/>
            </w14:solidFill>
          </w14:textFill>
        </w:rPr>
        <w:t>90.2%～116.7%，</w:t>
      </w:r>
      <w:r>
        <w:rPr>
          <w:color w:val="000000" w:themeColor="text1"/>
          <w:szCs w:val="21"/>
          <w14:textFill>
            <w14:solidFill>
              <w14:schemeClr w14:val="tx1"/>
            </w14:solidFill>
          </w14:textFill>
        </w:rPr>
        <w:t>相对标准偏差小于</w:t>
      </w:r>
      <w:r>
        <w:rPr>
          <w:bCs/>
          <w:color w:val="000000" w:themeColor="text1"/>
          <w:szCs w:val="21"/>
          <w14:textFill>
            <w14:solidFill>
              <w14:schemeClr w14:val="tx1"/>
            </w14:solidFill>
          </w14:textFill>
        </w:rPr>
        <w:t>10%（n=6）。</w:t>
      </w:r>
    </w:p>
    <w:p>
      <w:pPr>
        <w:spacing w:before="156" w:beforeLines="50" w:after="156" w:afterLines="50" w:line="300" w:lineRule="auto"/>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7  图谱</w:t>
      </w:r>
    </w:p>
    <w:p>
      <w:pPr>
        <w:spacing w:line="30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drawing>
          <wp:inline distT="0" distB="0" distL="0" distR="0">
            <wp:extent cx="5259705" cy="2260600"/>
            <wp:effectExtent l="0" t="0" r="0" b="6350"/>
            <wp:docPr id="8" name="图片 1" descr="地图的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地图的截图&#10;&#10;中度可信度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59705" cy="2260600"/>
                    </a:xfrm>
                    <a:prstGeom prst="rect">
                      <a:avLst/>
                    </a:prstGeom>
                    <a:noFill/>
                    <a:ln>
                      <a:noFill/>
                    </a:ln>
                  </pic:spPr>
                </pic:pic>
              </a:graphicData>
            </a:graphic>
          </wp:inline>
        </w:drawing>
      </w:r>
    </w:p>
    <w:p>
      <w:pPr>
        <w:snapToGrid w:val="0"/>
        <w:spacing w:before="156" w:beforeLines="50" w:after="156" w:afterLines="50" w:line="300" w:lineRule="auto"/>
        <w:jc w:val="center"/>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图1  标准溶液HPLC-MS/MS色谱图</w:t>
      </w:r>
    </w:p>
    <w:p>
      <w:pPr>
        <w:snapToGrid w:val="0"/>
        <w:spacing w:before="50" w:after="50" w:line="300" w:lineRule="auto"/>
        <w:ind w:left="1138" w:leftChars="200" w:hanging="718" w:hangingChars="399"/>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1：丙烯酰胺；2：</w:t>
      </w:r>
      <w:r>
        <w:rPr>
          <w:bCs/>
          <w:color w:val="000000" w:themeColor="text1"/>
          <w:sz w:val="18"/>
          <w:szCs w:val="21"/>
          <w14:textFill>
            <w14:solidFill>
              <w14:schemeClr w14:val="tx1"/>
            </w14:solidFill>
          </w14:textFill>
        </w:rPr>
        <w:t>氘代丙烯酰胺（</w:t>
      </w:r>
      <w:r>
        <w:rPr>
          <w:color w:val="000000" w:themeColor="text1"/>
          <w:sz w:val="18"/>
          <w:szCs w:val="21"/>
          <w14:textFill>
            <w14:solidFill>
              <w14:schemeClr w14:val="tx1"/>
            </w14:solidFill>
          </w14:textFill>
        </w:rPr>
        <w:t>内标</w:t>
      </w:r>
      <w:r>
        <w:rPr>
          <w:bCs/>
          <w:color w:val="000000" w:themeColor="text1"/>
          <w:sz w:val="18"/>
          <w:szCs w:val="21"/>
          <w14:textFill>
            <w14:solidFill>
              <w14:schemeClr w14:val="tx1"/>
            </w14:solidFill>
          </w14:textFill>
        </w:rPr>
        <w:t>）</w:t>
      </w:r>
    </w:p>
    <w:p>
      <w:pPr>
        <w:spacing w:line="300" w:lineRule="auto"/>
        <w:rPr>
          <w:b/>
          <w:color w:val="000000" w:themeColor="text1"/>
          <w:szCs w:val="21"/>
          <w14:textFill>
            <w14:solidFill>
              <w14:schemeClr w14:val="tx1"/>
            </w14:solidFill>
          </w14:textFill>
        </w:rPr>
      </w:pPr>
    </w:p>
    <w:p>
      <w:pPr>
        <w:snapToGrid w:val="0"/>
        <w:spacing w:before="156" w:beforeLines="50" w:after="156" w:afterLines="50" w:line="30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附录 A</w:t>
      </w:r>
    </w:p>
    <w:p>
      <w:pPr>
        <w:pStyle w:val="5"/>
        <w:snapToGrid w:val="0"/>
        <w:spacing w:before="156" w:beforeLines="50" w:after="156" w:afterLines="50" w:line="300" w:lineRule="auto"/>
        <w:ind w:left="0" w:leftChars="0" w:firstLine="0" w:firstLineChars="0"/>
        <w:jc w:val="center"/>
        <w:rPr>
          <w:color w:val="000000" w:themeColor="text1"/>
          <w14:textFill>
            <w14:solidFill>
              <w14:schemeClr w14:val="tx1"/>
            </w14:solidFill>
          </w14:textFill>
        </w:rPr>
      </w:pPr>
      <w:r>
        <w:rPr>
          <w:rFonts w:eastAsia="黑体"/>
          <w:color w:val="000000" w:themeColor="text1"/>
          <w:kern w:val="0"/>
          <w14:textFill>
            <w14:solidFill>
              <w14:schemeClr w14:val="tx1"/>
            </w14:solidFill>
          </w14:textFill>
        </w:rPr>
        <w:t>（资料性附录）</w:t>
      </w:r>
    </w:p>
    <w:p>
      <w:pPr>
        <w:snapToGrid w:val="0"/>
        <w:spacing w:before="156" w:beforeLines="50" w:after="156" w:afterLines="50" w:line="300" w:lineRule="auto"/>
        <w:jc w:val="center"/>
        <w:rPr>
          <w:rFonts w:eastAsia="黑体"/>
          <w:color w:val="000000" w:themeColor="text1"/>
          <w:szCs w:val="21"/>
          <w14:textFill>
            <w14:solidFill>
              <w14:schemeClr w14:val="tx1"/>
            </w14:solidFill>
          </w14:textFill>
        </w:rPr>
      </w:pPr>
      <w:r>
        <w:rPr>
          <w:rFonts w:eastAsia="黑体"/>
          <w:color w:val="000000" w:themeColor="text1"/>
          <w:kern w:val="0"/>
          <w14:textFill>
            <w14:solidFill>
              <w14:schemeClr w14:val="tx1"/>
            </w14:solidFill>
          </w14:textFill>
        </w:rPr>
        <w:t xml:space="preserve">表A.1  </w:t>
      </w:r>
      <w:r>
        <w:rPr>
          <w:rFonts w:eastAsia="黑体"/>
          <w:bCs/>
          <w:color w:val="000000" w:themeColor="text1"/>
          <w:szCs w:val="21"/>
          <w14:textFill>
            <w14:solidFill>
              <w14:schemeClr w14:val="tx1"/>
            </w14:solidFill>
          </w14:textFill>
        </w:rPr>
        <w:t>丙烯酰胺及氘代丙烯酰胺标准品</w:t>
      </w:r>
      <w:r>
        <w:rPr>
          <w:rFonts w:eastAsia="黑体"/>
          <w:color w:val="000000" w:themeColor="text1"/>
          <w:szCs w:val="21"/>
          <w14:textFill>
            <w14:solidFill>
              <w14:schemeClr w14:val="tx1"/>
            </w14:solidFill>
          </w14:textFill>
        </w:rPr>
        <w:t>信息表</w:t>
      </w:r>
    </w:p>
    <w:tbl>
      <w:tblPr>
        <w:tblStyle w:val="9"/>
        <w:tblW w:w="9874" w:type="dxa"/>
        <w:jc w:val="center"/>
        <w:tblInd w:w="0" w:type="dxa"/>
        <w:shd w:val="clear" w:color="000000" w:fill="auto"/>
        <w:tblLayout w:type="fixed"/>
        <w:tblCellMar>
          <w:top w:w="0" w:type="dxa"/>
          <w:left w:w="108" w:type="dxa"/>
          <w:bottom w:w="0" w:type="dxa"/>
          <w:right w:w="108" w:type="dxa"/>
        </w:tblCellMar>
      </w:tblPr>
      <w:tblGrid>
        <w:gridCol w:w="726"/>
        <w:gridCol w:w="1747"/>
        <w:gridCol w:w="1460"/>
        <w:gridCol w:w="1203"/>
        <w:gridCol w:w="1653"/>
        <w:gridCol w:w="1426"/>
        <w:gridCol w:w="1659"/>
      </w:tblGrid>
      <w:tr>
        <w:tblPrEx>
          <w:tblLayout w:type="fixed"/>
          <w:tblCellMar>
            <w:top w:w="0" w:type="dxa"/>
            <w:left w:w="108" w:type="dxa"/>
            <w:bottom w:w="0" w:type="dxa"/>
            <w:right w:w="108" w:type="dxa"/>
          </w:tblCellMar>
        </w:tblPrEx>
        <w:trPr>
          <w:trHeight w:val="488" w:hRule="exact"/>
          <w:jc w:val="center"/>
        </w:trPr>
        <w:tc>
          <w:tcPr>
            <w:tcW w:w="726" w:type="dxa"/>
            <w:tcBorders>
              <w:top w:val="single" w:color="auto" w:sz="8" w:space="0"/>
              <w:left w:val="nil"/>
              <w:bottom w:val="single" w:color="auto" w:sz="8" w:space="0"/>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1747" w:type="dxa"/>
            <w:tcBorders>
              <w:top w:val="single" w:color="auto" w:sz="8" w:space="0"/>
              <w:left w:val="nil"/>
              <w:bottom w:val="single" w:color="auto" w:sz="8" w:space="0"/>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原料名称</w:t>
            </w:r>
          </w:p>
        </w:tc>
        <w:tc>
          <w:tcPr>
            <w:tcW w:w="1460" w:type="dxa"/>
            <w:tcBorders>
              <w:top w:val="single" w:color="auto" w:sz="8" w:space="0"/>
              <w:left w:val="nil"/>
              <w:bottom w:val="single" w:color="auto" w:sz="8" w:space="0"/>
              <w:right w:val="nil"/>
            </w:tcBorders>
            <w:shd w:val="clear" w:color="000000" w:fill="auto"/>
            <w:vAlign w:val="center"/>
          </w:tcPr>
          <w:p>
            <w:pPr>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CAS号</w:t>
            </w:r>
          </w:p>
        </w:tc>
        <w:tc>
          <w:tcPr>
            <w:tcW w:w="1203" w:type="dxa"/>
            <w:tcBorders>
              <w:top w:val="single" w:color="auto" w:sz="8" w:space="0"/>
              <w:left w:val="nil"/>
              <w:bottom w:val="single" w:color="auto" w:sz="8" w:space="0"/>
              <w:right w:val="nil"/>
            </w:tcBorders>
            <w:shd w:val="clear" w:color="000000" w:fill="auto"/>
            <w:vAlign w:val="center"/>
          </w:tcPr>
          <w:p>
            <w:pPr>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分子式</w:t>
            </w:r>
          </w:p>
        </w:tc>
        <w:tc>
          <w:tcPr>
            <w:tcW w:w="1653" w:type="dxa"/>
            <w:tcBorders>
              <w:top w:val="single" w:color="auto" w:sz="8" w:space="0"/>
              <w:left w:val="nil"/>
              <w:bottom w:val="single" w:color="auto" w:sz="8" w:space="0"/>
              <w:right w:val="nil"/>
            </w:tcBorders>
            <w:shd w:val="clear" w:color="000000" w:fill="auto"/>
            <w:vAlign w:val="center"/>
          </w:tcPr>
          <w:p>
            <w:pPr>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相对分子质量</w:t>
            </w:r>
          </w:p>
        </w:tc>
        <w:tc>
          <w:tcPr>
            <w:tcW w:w="1426" w:type="dxa"/>
            <w:tcBorders>
              <w:top w:val="single" w:color="auto" w:sz="8" w:space="0"/>
              <w:left w:val="nil"/>
              <w:bottom w:val="single" w:color="auto" w:sz="8" w:space="0"/>
              <w:right w:val="nil"/>
            </w:tcBorders>
            <w:shd w:val="clear" w:color="000000" w:fill="auto"/>
            <w:vAlign w:val="center"/>
          </w:tcPr>
          <w:p>
            <w:pPr>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纯度（%）</w:t>
            </w:r>
          </w:p>
        </w:tc>
        <w:tc>
          <w:tcPr>
            <w:tcW w:w="1659" w:type="dxa"/>
            <w:tcBorders>
              <w:top w:val="single" w:color="auto" w:sz="8" w:space="0"/>
              <w:left w:val="nil"/>
              <w:bottom w:val="single" w:color="auto" w:sz="8" w:space="0"/>
              <w:right w:val="nil"/>
            </w:tcBorders>
            <w:shd w:val="clear" w:color="000000" w:fill="auto"/>
            <w:vAlign w:val="center"/>
          </w:tcPr>
          <w:p>
            <w:pPr>
              <w:spacing w:line="300" w:lineRule="auto"/>
              <w:jc w:val="center"/>
              <w:rPr>
                <w:color w:val="000000" w:themeColor="text1"/>
                <w:kern w:val="0"/>
                <w:szCs w:val="21"/>
                <w14:textFill>
                  <w14:solidFill>
                    <w14:schemeClr w14:val="tx1"/>
                  </w14:solidFill>
                </w14:textFill>
              </w:rPr>
            </w:pPr>
            <w:r>
              <w:rPr>
                <w:color w:val="000000" w:themeColor="text1"/>
                <w14:textFill>
                  <w14:solidFill>
                    <w14:schemeClr w14:val="tx1"/>
                  </w14:solidFill>
                </w14:textFill>
              </w:rPr>
              <w:t>氘代度</w:t>
            </w:r>
            <w:r>
              <w:rPr>
                <w:color w:val="000000" w:themeColor="text1"/>
                <w:kern w:val="0"/>
                <w:szCs w:val="21"/>
                <w14:textFill>
                  <w14:solidFill>
                    <w14:schemeClr w14:val="tx1"/>
                  </w14:solidFill>
                </w14:textFill>
              </w:rPr>
              <w:t>（%）</w:t>
            </w:r>
          </w:p>
        </w:tc>
      </w:tr>
      <w:tr>
        <w:tblPrEx>
          <w:shd w:val="clear" w:color="000000" w:fill="auto"/>
          <w:tblLayout w:type="fixed"/>
          <w:tblCellMar>
            <w:top w:w="0" w:type="dxa"/>
            <w:left w:w="108" w:type="dxa"/>
            <w:bottom w:w="0" w:type="dxa"/>
            <w:right w:w="108" w:type="dxa"/>
          </w:tblCellMar>
        </w:tblPrEx>
        <w:trPr>
          <w:trHeight w:val="340" w:hRule="exact"/>
          <w:jc w:val="center"/>
        </w:trPr>
        <w:tc>
          <w:tcPr>
            <w:tcW w:w="726" w:type="dxa"/>
            <w:tcBorders>
              <w:top w:val="single" w:color="auto" w:sz="8" w:space="0"/>
              <w:left w:val="nil"/>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747" w:type="dxa"/>
            <w:tcBorders>
              <w:top w:val="single" w:color="auto" w:sz="8" w:space="0"/>
              <w:left w:val="nil"/>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bCs/>
                <w:color w:val="000000" w:themeColor="text1"/>
                <w:szCs w:val="21"/>
                <w14:textFill>
                  <w14:solidFill>
                    <w14:schemeClr w14:val="tx1"/>
                  </w14:solidFill>
                </w14:textFill>
              </w:rPr>
              <w:t>丙烯酰胺</w:t>
            </w:r>
          </w:p>
        </w:tc>
        <w:tc>
          <w:tcPr>
            <w:tcW w:w="1460" w:type="dxa"/>
            <w:tcBorders>
              <w:top w:val="single" w:color="auto" w:sz="8" w:space="0"/>
              <w:left w:val="nil"/>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79-06-1</w:t>
            </w:r>
          </w:p>
        </w:tc>
        <w:tc>
          <w:tcPr>
            <w:tcW w:w="1203" w:type="dxa"/>
            <w:tcBorders>
              <w:top w:val="single" w:color="auto" w:sz="8" w:space="0"/>
              <w:left w:val="nil"/>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w:t>
            </w:r>
            <w:r>
              <w:rPr>
                <w:color w:val="000000" w:themeColor="text1"/>
                <w:kern w:val="0"/>
                <w:szCs w:val="21"/>
                <w:vertAlign w:val="subscript"/>
                <w14:textFill>
                  <w14:solidFill>
                    <w14:schemeClr w14:val="tx1"/>
                  </w14:solidFill>
                </w14:textFill>
              </w:rPr>
              <w:t>3</w:t>
            </w:r>
            <w:r>
              <w:rPr>
                <w:color w:val="000000" w:themeColor="text1"/>
                <w:kern w:val="0"/>
                <w:szCs w:val="21"/>
                <w14:textFill>
                  <w14:solidFill>
                    <w14:schemeClr w14:val="tx1"/>
                  </w14:solidFill>
                </w14:textFill>
              </w:rPr>
              <w:t>H</w:t>
            </w:r>
            <w:r>
              <w:rPr>
                <w:color w:val="000000" w:themeColor="text1"/>
                <w:kern w:val="0"/>
                <w:szCs w:val="21"/>
                <w:vertAlign w:val="subscript"/>
                <w14:textFill>
                  <w14:solidFill>
                    <w14:schemeClr w14:val="tx1"/>
                  </w14:solidFill>
                </w14:textFill>
              </w:rPr>
              <w:t>5</w:t>
            </w:r>
            <w:r>
              <w:rPr>
                <w:color w:val="000000" w:themeColor="text1"/>
                <w:kern w:val="0"/>
                <w:szCs w:val="21"/>
                <w14:textFill>
                  <w14:solidFill>
                    <w14:schemeClr w14:val="tx1"/>
                  </w14:solidFill>
                </w14:textFill>
              </w:rPr>
              <w:t>NO</w:t>
            </w:r>
          </w:p>
        </w:tc>
        <w:tc>
          <w:tcPr>
            <w:tcW w:w="1653" w:type="dxa"/>
            <w:tcBorders>
              <w:top w:val="single" w:color="auto" w:sz="8" w:space="0"/>
              <w:left w:val="nil"/>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71.1</w:t>
            </w:r>
          </w:p>
        </w:tc>
        <w:tc>
          <w:tcPr>
            <w:tcW w:w="1426" w:type="dxa"/>
            <w:tcBorders>
              <w:top w:val="single" w:color="auto" w:sz="8" w:space="0"/>
              <w:left w:val="nil"/>
              <w:right w:val="nil"/>
            </w:tcBorders>
            <w:shd w:val="clear" w:color="000000" w:fill="auto"/>
          </w:tcPr>
          <w:p>
            <w:pPr>
              <w:widowControl/>
              <w:spacing w:line="300" w:lineRule="auto"/>
              <w:jc w:val="center"/>
              <w:rPr>
                <w:color w:val="000000" w:themeColor="text1"/>
                <w:kern w:val="0"/>
                <w:szCs w:val="21"/>
                <w14:textFill>
                  <w14:solidFill>
                    <w14:schemeClr w14:val="tx1"/>
                  </w14:solidFill>
                </w14:textFill>
              </w:rPr>
            </w:pPr>
            <w:r>
              <w:rPr>
                <w:color w:val="000000" w:themeColor="text1"/>
                <w14:textFill>
                  <w14:solidFill>
                    <w14:schemeClr w14:val="tx1"/>
                  </w14:solidFill>
                </w14:textFill>
              </w:rPr>
              <w:t>≥98</w:t>
            </w:r>
          </w:p>
        </w:tc>
        <w:tc>
          <w:tcPr>
            <w:tcW w:w="1659" w:type="dxa"/>
            <w:tcBorders>
              <w:top w:val="single" w:color="auto" w:sz="8" w:space="0"/>
              <w:left w:val="nil"/>
              <w:right w:val="nil"/>
            </w:tcBorders>
            <w:shd w:val="clear" w:color="000000" w:fill="auto"/>
          </w:tcPr>
          <w:p>
            <w:pPr>
              <w:widowControl/>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tblPrEx>
          <w:shd w:val="clear" w:color="000000" w:fill="auto"/>
          <w:tblLayout w:type="fixed"/>
          <w:tblCellMar>
            <w:top w:w="0" w:type="dxa"/>
            <w:left w:w="108" w:type="dxa"/>
            <w:bottom w:w="0" w:type="dxa"/>
            <w:right w:w="108" w:type="dxa"/>
          </w:tblCellMar>
        </w:tblPrEx>
        <w:trPr>
          <w:trHeight w:val="340" w:hRule="exact"/>
          <w:jc w:val="center"/>
        </w:trPr>
        <w:tc>
          <w:tcPr>
            <w:tcW w:w="726" w:type="dxa"/>
            <w:tcBorders>
              <w:left w:val="nil"/>
              <w:bottom w:val="single" w:color="auto" w:sz="8" w:space="0"/>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747" w:type="dxa"/>
            <w:tcBorders>
              <w:left w:val="nil"/>
              <w:bottom w:val="single" w:color="auto" w:sz="8" w:space="0"/>
              <w:right w:val="nil"/>
            </w:tcBorders>
            <w:shd w:val="clear" w:color="000000" w:fill="auto"/>
            <w:vAlign w:val="center"/>
          </w:tcPr>
          <w:p>
            <w:pPr>
              <w:widowControl/>
              <w:spacing w:line="300" w:lineRule="auto"/>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氘代丙烯酰胺</w:t>
            </w:r>
          </w:p>
        </w:tc>
        <w:tc>
          <w:tcPr>
            <w:tcW w:w="1460" w:type="dxa"/>
            <w:tcBorders>
              <w:left w:val="nil"/>
              <w:bottom w:val="single" w:color="auto" w:sz="8" w:space="0"/>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122775-19-3</w:t>
            </w:r>
          </w:p>
        </w:tc>
        <w:tc>
          <w:tcPr>
            <w:tcW w:w="1203" w:type="dxa"/>
            <w:tcBorders>
              <w:left w:val="nil"/>
              <w:bottom w:val="single" w:color="auto" w:sz="8" w:space="0"/>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w:t>
            </w:r>
            <w:r>
              <w:rPr>
                <w:color w:val="000000" w:themeColor="text1"/>
                <w:kern w:val="0"/>
                <w:szCs w:val="21"/>
                <w:vertAlign w:val="subscript"/>
                <w14:textFill>
                  <w14:solidFill>
                    <w14:schemeClr w14:val="tx1"/>
                  </w14:solidFill>
                </w14:textFill>
              </w:rPr>
              <w:t>3</w:t>
            </w:r>
            <w:r>
              <w:rPr>
                <w:color w:val="000000" w:themeColor="text1"/>
                <w:kern w:val="0"/>
                <w:szCs w:val="21"/>
                <w14:textFill>
                  <w14:solidFill>
                    <w14:schemeClr w14:val="tx1"/>
                  </w14:solidFill>
                </w14:textFill>
              </w:rPr>
              <w:t>H</w:t>
            </w:r>
            <w:r>
              <w:rPr>
                <w:color w:val="000000" w:themeColor="text1"/>
                <w:kern w:val="0"/>
                <w:szCs w:val="21"/>
                <w:vertAlign w:val="subscript"/>
                <w14:textFill>
                  <w14:solidFill>
                    <w14:schemeClr w14:val="tx1"/>
                  </w14:solidFill>
                </w14:textFill>
              </w:rPr>
              <w:t>2</w:t>
            </w:r>
            <w:r>
              <w:rPr>
                <w:color w:val="000000" w:themeColor="text1"/>
                <w:kern w:val="0"/>
                <w:szCs w:val="21"/>
                <w14:textFill>
                  <w14:solidFill>
                    <w14:schemeClr w14:val="tx1"/>
                  </w14:solidFill>
                </w14:textFill>
              </w:rPr>
              <w:t>D</w:t>
            </w:r>
            <w:r>
              <w:rPr>
                <w:color w:val="000000" w:themeColor="text1"/>
                <w:kern w:val="0"/>
                <w:szCs w:val="21"/>
                <w:vertAlign w:val="subscript"/>
                <w14:textFill>
                  <w14:solidFill>
                    <w14:schemeClr w14:val="tx1"/>
                  </w14:solidFill>
                </w14:textFill>
              </w:rPr>
              <w:t>3</w:t>
            </w:r>
            <w:r>
              <w:rPr>
                <w:color w:val="000000" w:themeColor="text1"/>
                <w:kern w:val="0"/>
                <w:szCs w:val="21"/>
                <w14:textFill>
                  <w14:solidFill>
                    <w14:schemeClr w14:val="tx1"/>
                  </w14:solidFill>
                </w14:textFill>
              </w:rPr>
              <w:t>NO</w:t>
            </w:r>
          </w:p>
        </w:tc>
        <w:tc>
          <w:tcPr>
            <w:tcW w:w="1653" w:type="dxa"/>
            <w:tcBorders>
              <w:left w:val="nil"/>
              <w:bottom w:val="single" w:color="auto" w:sz="8" w:space="0"/>
              <w:right w:val="nil"/>
            </w:tcBorders>
            <w:shd w:val="clear" w:color="000000" w:fill="auto"/>
            <w:vAlign w:val="center"/>
          </w:tcPr>
          <w:p>
            <w:pPr>
              <w:widowControl/>
              <w:spacing w:line="300"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74.1</w:t>
            </w:r>
          </w:p>
        </w:tc>
        <w:tc>
          <w:tcPr>
            <w:tcW w:w="1426" w:type="dxa"/>
            <w:tcBorders>
              <w:left w:val="nil"/>
              <w:bottom w:val="single" w:color="auto" w:sz="8" w:space="0"/>
              <w:right w:val="nil"/>
            </w:tcBorders>
            <w:shd w:val="clear" w:color="000000" w:fill="auto"/>
          </w:tcPr>
          <w:p>
            <w:pPr>
              <w:widowControl/>
              <w:spacing w:line="300" w:lineRule="auto"/>
              <w:jc w:val="center"/>
              <w:rPr>
                <w:color w:val="000000" w:themeColor="text1"/>
                <w:kern w:val="0"/>
                <w:szCs w:val="21"/>
                <w14:textFill>
                  <w14:solidFill>
                    <w14:schemeClr w14:val="tx1"/>
                  </w14:solidFill>
                </w14:textFill>
              </w:rPr>
            </w:pPr>
            <w:r>
              <w:rPr>
                <w:color w:val="000000" w:themeColor="text1"/>
                <w14:textFill>
                  <w14:solidFill>
                    <w14:schemeClr w14:val="tx1"/>
                  </w14:solidFill>
                </w14:textFill>
              </w:rPr>
              <w:t>≥ 98</w:t>
            </w:r>
          </w:p>
        </w:tc>
        <w:tc>
          <w:tcPr>
            <w:tcW w:w="1659" w:type="dxa"/>
            <w:tcBorders>
              <w:left w:val="nil"/>
              <w:bottom w:val="single" w:color="auto" w:sz="8" w:space="0"/>
              <w:right w:val="nil"/>
            </w:tcBorders>
            <w:shd w:val="clear" w:color="000000" w:fill="auto"/>
          </w:tcPr>
          <w:p>
            <w:pPr>
              <w:widowControl/>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≥99.5</w:t>
            </w:r>
          </w:p>
        </w:tc>
      </w:tr>
    </w:tbl>
    <w:p>
      <w:pPr>
        <w:widowControl/>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00D0747B"/>
    <w:rsid w:val="00010AAC"/>
    <w:rsid w:val="000274A3"/>
    <w:rsid w:val="000427DB"/>
    <w:rsid w:val="000444DD"/>
    <w:rsid w:val="00046CEB"/>
    <w:rsid w:val="00066049"/>
    <w:rsid w:val="000724B3"/>
    <w:rsid w:val="00072A8F"/>
    <w:rsid w:val="0009353C"/>
    <w:rsid w:val="000950AA"/>
    <w:rsid w:val="000C71D4"/>
    <w:rsid w:val="000F5F8A"/>
    <w:rsid w:val="00101197"/>
    <w:rsid w:val="00103AA0"/>
    <w:rsid w:val="0010445F"/>
    <w:rsid w:val="0011387E"/>
    <w:rsid w:val="001243CD"/>
    <w:rsid w:val="00124A3A"/>
    <w:rsid w:val="001339CE"/>
    <w:rsid w:val="001953FA"/>
    <w:rsid w:val="001A7532"/>
    <w:rsid w:val="001B218C"/>
    <w:rsid w:val="001B70E4"/>
    <w:rsid w:val="001E1EB5"/>
    <w:rsid w:val="00206211"/>
    <w:rsid w:val="002131DC"/>
    <w:rsid w:val="00215A15"/>
    <w:rsid w:val="002318E1"/>
    <w:rsid w:val="00260E23"/>
    <w:rsid w:val="00291E7C"/>
    <w:rsid w:val="002A2D09"/>
    <w:rsid w:val="002C408B"/>
    <w:rsid w:val="002E009D"/>
    <w:rsid w:val="002E3BF0"/>
    <w:rsid w:val="002E4560"/>
    <w:rsid w:val="00302F8F"/>
    <w:rsid w:val="003268EB"/>
    <w:rsid w:val="00331059"/>
    <w:rsid w:val="0036033E"/>
    <w:rsid w:val="003807EC"/>
    <w:rsid w:val="0038668A"/>
    <w:rsid w:val="00396C95"/>
    <w:rsid w:val="003A64E3"/>
    <w:rsid w:val="003E343F"/>
    <w:rsid w:val="003F7061"/>
    <w:rsid w:val="00411868"/>
    <w:rsid w:val="0042760F"/>
    <w:rsid w:val="00437D0C"/>
    <w:rsid w:val="0046168D"/>
    <w:rsid w:val="00491753"/>
    <w:rsid w:val="004960A4"/>
    <w:rsid w:val="004A54B3"/>
    <w:rsid w:val="004B399D"/>
    <w:rsid w:val="004B7F07"/>
    <w:rsid w:val="004D4626"/>
    <w:rsid w:val="004E35F0"/>
    <w:rsid w:val="004E5957"/>
    <w:rsid w:val="004F09A8"/>
    <w:rsid w:val="00502D5F"/>
    <w:rsid w:val="0051446D"/>
    <w:rsid w:val="00515600"/>
    <w:rsid w:val="00537836"/>
    <w:rsid w:val="00581882"/>
    <w:rsid w:val="00587C5B"/>
    <w:rsid w:val="00595D79"/>
    <w:rsid w:val="005A6F1A"/>
    <w:rsid w:val="00613DB1"/>
    <w:rsid w:val="00620303"/>
    <w:rsid w:val="00627D02"/>
    <w:rsid w:val="00653702"/>
    <w:rsid w:val="0066764E"/>
    <w:rsid w:val="0067196C"/>
    <w:rsid w:val="0069293A"/>
    <w:rsid w:val="006B0857"/>
    <w:rsid w:val="006E06EA"/>
    <w:rsid w:val="006F2529"/>
    <w:rsid w:val="0072503D"/>
    <w:rsid w:val="00756830"/>
    <w:rsid w:val="0076426D"/>
    <w:rsid w:val="00764F21"/>
    <w:rsid w:val="00774E9F"/>
    <w:rsid w:val="007776A4"/>
    <w:rsid w:val="00781440"/>
    <w:rsid w:val="0079659B"/>
    <w:rsid w:val="007978B5"/>
    <w:rsid w:val="007C30D2"/>
    <w:rsid w:val="008053A4"/>
    <w:rsid w:val="00811FAA"/>
    <w:rsid w:val="00857829"/>
    <w:rsid w:val="00887FF0"/>
    <w:rsid w:val="00901031"/>
    <w:rsid w:val="00903C58"/>
    <w:rsid w:val="00990346"/>
    <w:rsid w:val="00993052"/>
    <w:rsid w:val="009A3672"/>
    <w:rsid w:val="009B4D8A"/>
    <w:rsid w:val="009C4587"/>
    <w:rsid w:val="009D3707"/>
    <w:rsid w:val="009E671A"/>
    <w:rsid w:val="009F450B"/>
    <w:rsid w:val="00A239FC"/>
    <w:rsid w:val="00A37B6A"/>
    <w:rsid w:val="00A74BD8"/>
    <w:rsid w:val="00AA00D0"/>
    <w:rsid w:val="00AB602E"/>
    <w:rsid w:val="00AC56E8"/>
    <w:rsid w:val="00AE04D3"/>
    <w:rsid w:val="00B00417"/>
    <w:rsid w:val="00B01B6A"/>
    <w:rsid w:val="00B03D70"/>
    <w:rsid w:val="00B10275"/>
    <w:rsid w:val="00B15297"/>
    <w:rsid w:val="00B50938"/>
    <w:rsid w:val="00B567C0"/>
    <w:rsid w:val="00B72A68"/>
    <w:rsid w:val="00BB2532"/>
    <w:rsid w:val="00BC7B77"/>
    <w:rsid w:val="00BD1BA6"/>
    <w:rsid w:val="00BF00A6"/>
    <w:rsid w:val="00C03F57"/>
    <w:rsid w:val="00C240A6"/>
    <w:rsid w:val="00C41C11"/>
    <w:rsid w:val="00C47500"/>
    <w:rsid w:val="00C72747"/>
    <w:rsid w:val="00C75880"/>
    <w:rsid w:val="00C979B3"/>
    <w:rsid w:val="00D0747B"/>
    <w:rsid w:val="00D30173"/>
    <w:rsid w:val="00D80518"/>
    <w:rsid w:val="00DB7D41"/>
    <w:rsid w:val="00DF18C1"/>
    <w:rsid w:val="00DF7E54"/>
    <w:rsid w:val="00E01321"/>
    <w:rsid w:val="00E0253F"/>
    <w:rsid w:val="00E55312"/>
    <w:rsid w:val="00E64720"/>
    <w:rsid w:val="00E77BB0"/>
    <w:rsid w:val="00E90D51"/>
    <w:rsid w:val="00E928DF"/>
    <w:rsid w:val="00EB06B4"/>
    <w:rsid w:val="00EB3699"/>
    <w:rsid w:val="00EC23EB"/>
    <w:rsid w:val="00EF00A3"/>
    <w:rsid w:val="00EF08E0"/>
    <w:rsid w:val="00F11500"/>
    <w:rsid w:val="00F56C32"/>
    <w:rsid w:val="00F60A7D"/>
    <w:rsid w:val="00F62BBB"/>
    <w:rsid w:val="00F6341B"/>
    <w:rsid w:val="00F6353A"/>
    <w:rsid w:val="00F64B7F"/>
    <w:rsid w:val="00F65D9F"/>
    <w:rsid w:val="00F80082"/>
    <w:rsid w:val="13451652"/>
    <w:rsid w:val="1AB71087"/>
    <w:rsid w:val="209B6D55"/>
    <w:rsid w:val="35623F56"/>
    <w:rsid w:val="41EF0857"/>
    <w:rsid w:val="48103D4F"/>
    <w:rsid w:val="4D41465D"/>
    <w:rsid w:val="52C6413F"/>
    <w:rsid w:val="566B4172"/>
    <w:rsid w:val="5DCA41FA"/>
    <w:rsid w:val="68D92499"/>
    <w:rsid w:val="6D8C5028"/>
    <w:rsid w:val="6F141B98"/>
    <w:rsid w:val="71706A0F"/>
    <w:rsid w:val="72C63FFE"/>
    <w:rsid w:val="76472434"/>
    <w:rsid w:val="FFFF73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3"/>
    <w:qFormat/>
    <w:uiPriority w:val="99"/>
    <w:pPr>
      <w:ind w:firstLine="357"/>
    </w:pPr>
    <w:rPr>
      <w:rFonts w:ascii="Calibri" w:hAnsi="Calibri"/>
      <w:kern w:val="0"/>
      <w:sz w:val="24"/>
    </w:rPr>
  </w:style>
  <w:style w:type="paragraph" w:styleId="3">
    <w:name w:val="Balloon Text"/>
    <w:basedOn w:val="1"/>
    <w:link w:val="12"/>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5">
    <w:name w:val="Body Text First Indent 2"/>
    <w:basedOn w:val="2"/>
    <w:link w:val="19"/>
    <w:qFormat/>
    <w:uiPriority w:val="99"/>
    <w:pPr>
      <w:spacing w:after="120"/>
      <w:ind w:left="420" w:leftChars="200" w:firstLine="420" w:firstLineChars="200"/>
    </w:pPr>
    <w:rPr>
      <w:rFonts w:ascii="Times New Roman" w:hAnsi="Times New Roman"/>
      <w:kern w:val="2"/>
      <w:sz w:val="21"/>
      <w:szCs w:val="20"/>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8"/>
    <w:link w:val="6"/>
    <w:semiHidden/>
    <w:qFormat/>
    <w:locked/>
    <w:uiPriority w:val="99"/>
    <w:rPr>
      <w:rFonts w:cs="Times New Roman"/>
      <w:sz w:val="18"/>
      <w:szCs w:val="18"/>
    </w:rPr>
  </w:style>
  <w:style w:type="character" w:customStyle="1" w:styleId="11">
    <w:name w:val="页脚 Char"/>
    <w:basedOn w:val="8"/>
    <w:link w:val="4"/>
    <w:qFormat/>
    <w:locked/>
    <w:uiPriority w:val="99"/>
    <w:rPr>
      <w:rFonts w:cs="Times New Roman"/>
      <w:sz w:val="18"/>
      <w:szCs w:val="18"/>
    </w:rPr>
  </w:style>
  <w:style w:type="character" w:customStyle="1" w:styleId="12">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3">
    <w:name w:val="正文文本缩进 Char"/>
    <w:basedOn w:val="8"/>
    <w:link w:val="2"/>
    <w:qFormat/>
    <w:locked/>
    <w:uiPriority w:val="99"/>
    <w:rPr>
      <w:sz w:val="24"/>
      <w:szCs w:val="24"/>
    </w:rPr>
  </w:style>
  <w:style w:type="character" w:customStyle="1" w:styleId="14">
    <w:name w:val="highlight1"/>
    <w:basedOn w:val="8"/>
    <w:qFormat/>
    <w:uiPriority w:val="99"/>
    <w:rPr>
      <w:rFonts w:cs="Times New Roman"/>
      <w:sz w:val="21"/>
      <w:szCs w:val="21"/>
    </w:rPr>
  </w:style>
  <w:style w:type="character" w:customStyle="1" w:styleId="15">
    <w:name w:val="正文文本缩进 Char1"/>
    <w:basedOn w:val="8"/>
    <w:semiHidden/>
    <w:qFormat/>
    <w:uiPriority w:val="99"/>
    <w:rPr>
      <w:rFonts w:ascii="Times New Roman" w:hAnsi="Times New Roman"/>
      <w:kern w:val="2"/>
      <w:sz w:val="21"/>
      <w:szCs w:val="24"/>
    </w:rPr>
  </w:style>
  <w:style w:type="character" w:customStyle="1" w:styleId="16">
    <w:name w:val="markedcontent"/>
    <w:qFormat/>
    <w:uiPriority w:val="0"/>
  </w:style>
  <w:style w:type="character" w:customStyle="1" w:styleId="17">
    <w:name w:val="content-right_8zs40"/>
    <w:qFormat/>
    <w:uiPriority w:val="0"/>
  </w:style>
  <w:style w:type="character" w:customStyle="1" w:styleId="18">
    <w:name w:val="正文首行缩进 2 Char"/>
    <w:basedOn w:val="13"/>
    <w:semiHidden/>
    <w:qFormat/>
    <w:uiPriority w:val="99"/>
    <w:rPr>
      <w:rFonts w:ascii="Times New Roman" w:hAnsi="Times New Roman"/>
      <w:kern w:val="2"/>
      <w:sz w:val="21"/>
      <w:szCs w:val="24"/>
    </w:rPr>
  </w:style>
  <w:style w:type="character" w:customStyle="1" w:styleId="19">
    <w:name w:val="正文首行缩进 2 Char1"/>
    <w:link w:val="5"/>
    <w:qFormat/>
    <w:uiPriority w:val="99"/>
    <w:rPr>
      <w:rFonts w:ascii="Times New Roman" w:hAnsi="Times New Roman"/>
      <w:kern w:val="2"/>
      <w:sz w:val="21"/>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446</Words>
  <Characters>2547</Characters>
  <Lines>21</Lines>
  <Paragraphs>5</Paragraphs>
  <TotalTime>78</TotalTime>
  <ScaleCrop>false</ScaleCrop>
  <LinksUpToDate>false</LinksUpToDate>
  <CharactersWithSpaces>2988</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2023-07-28T14:47:00Z</dcterms:created>
  <dc:creator>jianlonghai</dc:creator>
  <cp:lastModifiedBy>hj0niuj</cp:lastModifiedBy>
  <cp:lastPrinted>2023-06-19T15:15:00Z</cp:lastPrinted>
  <dcterms:modified xsi:type="dcterms:W3CDTF">2023-08-02T15:01:05Z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E6E087E1ED134C61A0C5E8BE7EF477DF_13</vt:lpwstr>
  </property>
</Properties>
</file>