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after="120" w:afterLines="50" w:line="300" w:lineRule="auto"/>
        <w:jc w:val="left"/>
        <w:rPr>
          <w:rFonts w:hint="eastAsia" w:eastAsia="黑体"/>
          <w:sz w:val="32"/>
          <w:szCs w:val="32"/>
          <w:lang w:val="en-US" w:eastAsia="zh-CN"/>
        </w:rPr>
      </w:pPr>
      <w:r>
        <w:rPr>
          <w:rFonts w:hint="eastAsia" w:eastAsia="黑体"/>
          <w:sz w:val="32"/>
          <w:szCs w:val="32"/>
        </w:rPr>
        <w:t>附件</w:t>
      </w:r>
      <w:r>
        <w:rPr>
          <w:rFonts w:eastAsia="黑体"/>
          <w:sz w:val="32"/>
          <w:szCs w:val="32"/>
        </w:rPr>
        <w:t>2</w:t>
      </w:r>
      <w:r>
        <w:rPr>
          <w:rFonts w:hint="eastAsia" w:eastAsia="黑体"/>
          <w:sz w:val="32"/>
          <w:szCs w:val="32"/>
          <w:lang w:val="en-US" w:eastAsia="zh-CN"/>
        </w:rPr>
        <w:t>0</w:t>
      </w:r>
    </w:p>
    <w:p>
      <w:pPr>
        <w:snapToGrid w:val="0"/>
        <w:spacing w:before="120" w:beforeLines="50" w:after="120" w:afterLines="50" w:line="300" w:lineRule="auto"/>
        <w:jc w:val="center"/>
        <w:rPr>
          <w:rFonts w:eastAsia="黑体"/>
          <w:iCs/>
          <w:kern w:val="0"/>
          <w:sz w:val="36"/>
          <w:szCs w:val="18"/>
        </w:rPr>
      </w:pPr>
      <w:r>
        <w:rPr>
          <w:rFonts w:hint="eastAsia" w:eastAsia="黑体"/>
          <w:sz w:val="32"/>
          <w:szCs w:val="21"/>
        </w:rPr>
        <w:t>化妆品中</w:t>
      </w:r>
      <w:r>
        <w:rPr>
          <w:rFonts w:eastAsia="黑体"/>
          <w:sz w:val="32"/>
          <w:szCs w:val="21"/>
        </w:rPr>
        <w:t>α-</w:t>
      </w:r>
      <w:r>
        <w:rPr>
          <w:rFonts w:hint="eastAsia" w:eastAsia="黑体"/>
          <w:sz w:val="32"/>
          <w:szCs w:val="21"/>
        </w:rPr>
        <w:t>熊果苷等4种原料的检验方法</w:t>
      </w:r>
    </w:p>
    <w:p>
      <w:pPr>
        <w:snapToGrid w:val="0"/>
        <w:spacing w:before="120" w:beforeLines="50" w:after="120" w:afterLines="50" w:line="300" w:lineRule="auto"/>
        <w:jc w:val="center"/>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α-Arbutin</w:t>
      </w:r>
      <w:r>
        <w:rPr>
          <w:color w:val="333333"/>
          <w:szCs w:val="21"/>
          <w:shd w:val="clear" w:color="auto" w:fill="FFFFFF"/>
        </w:rPr>
        <w:t xml:space="preserve"> and other 3 kinds of components</w:t>
      </w:r>
      <w:r>
        <w:rPr>
          <w:rFonts w:eastAsia="黑体"/>
          <w:color w:val="000000" w:themeColor="text1"/>
          <w:szCs w:val="32"/>
          <w14:textFill>
            <w14:solidFill>
              <w14:schemeClr w14:val="tx1"/>
            </w14:solidFill>
          </w14:textFill>
        </w:rPr>
        <w:t xml:space="preserve"> </w:t>
      </w:r>
      <w:r>
        <w:rPr>
          <w:rFonts w:hint="eastAsia" w:eastAsia="黑体"/>
          <w:color w:val="000000" w:themeColor="text1"/>
          <w:szCs w:val="32"/>
          <w14:textFill>
            <w14:solidFill>
              <w14:schemeClr w14:val="tx1"/>
            </w14:solidFill>
          </w14:textFill>
        </w:rPr>
        <w:t>in cosmetic</w:t>
      </w:r>
    </w:p>
    <w:p>
      <w:pPr>
        <w:autoSpaceDE w:val="0"/>
        <w:autoSpaceDN w:val="0"/>
        <w:adjustRightInd w:val="0"/>
        <w:snapToGrid w:val="0"/>
        <w:spacing w:before="120" w:beforeLines="50" w:after="120" w:afterLines="50" w:line="300" w:lineRule="auto"/>
        <w:rPr>
          <w:rFonts w:eastAsia="黑体"/>
          <w:kern w:val="0"/>
          <w:szCs w:val="21"/>
        </w:rPr>
      </w:pPr>
      <w:r>
        <w:rPr>
          <w:rFonts w:eastAsia="黑体"/>
          <w:bCs/>
          <w:kern w:val="0"/>
          <w:szCs w:val="21"/>
        </w:rPr>
        <w:t xml:space="preserve">1  </w:t>
      </w:r>
      <w:r>
        <w:rPr>
          <w:rFonts w:hint="eastAsia" w:eastAsia="黑体"/>
          <w:bCs/>
          <w:kern w:val="0"/>
          <w:szCs w:val="21"/>
        </w:rPr>
        <w:t xml:space="preserve"> </w:t>
      </w:r>
      <w:r>
        <w:rPr>
          <w:rFonts w:eastAsia="黑体"/>
          <w:kern w:val="0"/>
          <w:szCs w:val="21"/>
        </w:rPr>
        <w:t>范围</w: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本方法规定了高效液相色谱法测定化妆品中</w:t>
      </w:r>
      <w:r>
        <w:rPr>
          <w:szCs w:val="21"/>
        </w:rPr>
        <w:t>α-熊果苷、熊果苷、氢醌和苯酚</w:t>
      </w:r>
      <w:r>
        <w:rPr>
          <w:kern w:val="0"/>
          <w:szCs w:val="21"/>
        </w:rPr>
        <w:t>的含量。</w:t>
      </w:r>
    </w:p>
    <w:p>
      <w:pPr>
        <w:autoSpaceDE w:val="0"/>
        <w:autoSpaceDN w:val="0"/>
        <w:adjustRightInd w:val="0"/>
        <w:snapToGrid w:val="0"/>
        <w:spacing w:before="120" w:beforeLines="50" w:after="120" w:afterLines="50" w:line="300" w:lineRule="auto"/>
        <w:ind w:firstLine="420" w:firstLineChars="200"/>
        <w:rPr>
          <w:szCs w:val="21"/>
        </w:rPr>
      </w:pPr>
      <w:r>
        <w:rPr>
          <w:kern w:val="0"/>
          <w:szCs w:val="21"/>
        </w:rPr>
        <w:t>本方法适用于</w:t>
      </w:r>
      <w:r>
        <w:rPr>
          <w:rFonts w:hint="eastAsia"/>
          <w:kern w:val="0"/>
          <w:szCs w:val="21"/>
        </w:rPr>
        <w:t>液态水基</w:t>
      </w:r>
      <w:r>
        <w:rPr>
          <w:kern w:val="0"/>
          <w:szCs w:val="21"/>
        </w:rPr>
        <w:t>类、膏霜乳液类、凝胶类、面膜类、粉类化妆品中</w:t>
      </w:r>
      <w:r>
        <w:rPr>
          <w:szCs w:val="21"/>
        </w:rPr>
        <w:t>α-熊果苷、熊果苷、氢醌和苯酚</w:t>
      </w:r>
      <w:r>
        <w:rPr>
          <w:kern w:val="0"/>
          <w:szCs w:val="21"/>
        </w:rPr>
        <w:t>含量的测定。</w:t>
      </w:r>
    </w:p>
    <w:p>
      <w:pPr>
        <w:autoSpaceDE w:val="0"/>
        <w:autoSpaceDN w:val="0"/>
        <w:adjustRightInd w:val="0"/>
        <w:snapToGrid w:val="0"/>
        <w:spacing w:before="120" w:beforeLines="50" w:after="120" w:afterLines="50" w:line="300" w:lineRule="auto"/>
        <w:rPr>
          <w:rFonts w:eastAsia="黑体"/>
          <w:szCs w:val="21"/>
        </w:rPr>
      </w:pPr>
      <w:r>
        <w:rPr>
          <w:rFonts w:eastAsia="黑体"/>
          <w:bCs/>
          <w:szCs w:val="21"/>
        </w:rPr>
        <w:t xml:space="preserve">2  </w:t>
      </w:r>
      <w:r>
        <w:rPr>
          <w:rFonts w:hint="eastAsia" w:eastAsia="黑体"/>
          <w:bCs/>
          <w:szCs w:val="21"/>
        </w:rPr>
        <w:t xml:space="preserve"> </w:t>
      </w:r>
      <w:r>
        <w:rPr>
          <w:rFonts w:eastAsia="黑体"/>
          <w:szCs w:val="21"/>
        </w:rPr>
        <w:t>方法提要</w: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样品经甲醇超声提取后，采用高效液相色谱系统分离，荧光检测器检测，根据保留时间定性，峰面积定量，以标准曲线法计算含量。如有阳性结果，应用液相色谱-串联质谱法、气相色谱-串联质谱法进行定性确证。</w: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本方法中</w:t>
      </w:r>
      <w:r>
        <w:rPr>
          <w:szCs w:val="21"/>
        </w:rPr>
        <w:t>α-熊果苷、熊果苷、氢醌和苯酚</w:t>
      </w:r>
      <w:r>
        <w:rPr>
          <w:kern w:val="0"/>
          <w:szCs w:val="21"/>
        </w:rPr>
        <w:t>的检出限、定量下限及取样量为1.0 g时检出浓度和最低定量浓度见表1。</w:t>
      </w:r>
    </w:p>
    <w:p>
      <w:pPr>
        <w:autoSpaceDE w:val="0"/>
        <w:autoSpaceDN w:val="0"/>
        <w:adjustRightInd w:val="0"/>
        <w:snapToGrid w:val="0"/>
        <w:spacing w:before="120" w:beforeLines="50" w:after="120" w:afterLines="50" w:line="300" w:lineRule="auto"/>
        <w:jc w:val="center"/>
        <w:rPr>
          <w:rFonts w:eastAsia="黑体"/>
          <w:kern w:val="0"/>
          <w:szCs w:val="21"/>
        </w:rPr>
      </w:pPr>
      <w:r>
        <w:rPr>
          <w:rFonts w:eastAsia="黑体"/>
          <w:kern w:val="0"/>
          <w:szCs w:val="21"/>
        </w:rPr>
        <w:t xml:space="preserve">表1  </w:t>
      </w:r>
      <w:r>
        <w:rPr>
          <w:rFonts w:eastAsia="黑体"/>
          <w:szCs w:val="21"/>
        </w:rPr>
        <w:t>α-熊果苷、熊果苷、氢醌和苯酚</w:t>
      </w:r>
      <w:r>
        <w:rPr>
          <w:rFonts w:eastAsia="黑体"/>
          <w:kern w:val="0"/>
          <w:szCs w:val="21"/>
        </w:rPr>
        <w:t>的检出限、定量下限、检出浓度和最低定量浓度</w:t>
      </w:r>
    </w:p>
    <w:tbl>
      <w:tblPr>
        <w:tblStyle w:val="7"/>
        <w:tblW w:w="8852"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0"/>
        <w:gridCol w:w="1469"/>
        <w:gridCol w:w="1403"/>
        <w:gridCol w:w="1430"/>
        <w:gridCol w:w="1639"/>
        <w:gridCol w:w="1731"/>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0"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序号</w:t>
            </w:r>
          </w:p>
        </w:tc>
        <w:tc>
          <w:tcPr>
            <w:tcW w:w="1469"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原料名称</w:t>
            </w:r>
          </w:p>
        </w:tc>
        <w:tc>
          <w:tcPr>
            <w:tcW w:w="1403"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检出限</w:t>
            </w:r>
          </w:p>
          <w:p>
            <w:pPr>
              <w:autoSpaceDE w:val="0"/>
              <w:autoSpaceDN w:val="0"/>
              <w:adjustRightInd w:val="0"/>
              <w:spacing w:line="300" w:lineRule="auto"/>
              <w:jc w:val="center"/>
              <w:rPr>
                <w:kern w:val="0"/>
                <w:szCs w:val="21"/>
              </w:rPr>
            </w:pPr>
            <w:r>
              <w:rPr>
                <w:kern w:val="0"/>
                <w:szCs w:val="21"/>
              </w:rPr>
              <w:t>（ng）</w:t>
            </w:r>
          </w:p>
        </w:tc>
        <w:tc>
          <w:tcPr>
            <w:tcW w:w="1430"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定量下限</w:t>
            </w:r>
          </w:p>
          <w:p>
            <w:pPr>
              <w:autoSpaceDE w:val="0"/>
              <w:autoSpaceDN w:val="0"/>
              <w:adjustRightInd w:val="0"/>
              <w:spacing w:line="300" w:lineRule="auto"/>
              <w:jc w:val="center"/>
              <w:rPr>
                <w:kern w:val="0"/>
                <w:szCs w:val="21"/>
              </w:rPr>
            </w:pPr>
            <w:r>
              <w:rPr>
                <w:kern w:val="0"/>
                <w:szCs w:val="21"/>
              </w:rPr>
              <w:t>（ng）</w:t>
            </w:r>
          </w:p>
        </w:tc>
        <w:tc>
          <w:tcPr>
            <w:tcW w:w="1639"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检出浓度</w:t>
            </w:r>
          </w:p>
          <w:p>
            <w:pPr>
              <w:autoSpaceDE w:val="0"/>
              <w:autoSpaceDN w:val="0"/>
              <w:adjustRightInd w:val="0"/>
              <w:spacing w:line="300" w:lineRule="auto"/>
              <w:jc w:val="center"/>
              <w:rPr>
                <w:kern w:val="0"/>
                <w:szCs w:val="21"/>
              </w:rPr>
            </w:pPr>
            <w:r>
              <w:rPr>
                <w:kern w:val="0"/>
                <w:szCs w:val="21"/>
              </w:rPr>
              <w:t>（μg/g）</w:t>
            </w:r>
          </w:p>
        </w:tc>
        <w:tc>
          <w:tcPr>
            <w:tcW w:w="1731"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最低定量浓度</w:t>
            </w:r>
          </w:p>
          <w:p>
            <w:pPr>
              <w:autoSpaceDE w:val="0"/>
              <w:autoSpaceDN w:val="0"/>
              <w:adjustRightInd w:val="0"/>
              <w:spacing w:line="300" w:lineRule="auto"/>
              <w:jc w:val="center"/>
              <w:rPr>
                <w:kern w:val="0"/>
                <w:szCs w:val="21"/>
              </w:rPr>
            </w:pPr>
            <w:r>
              <w:rPr>
                <w:kern w:val="0"/>
                <w:szCs w:val="21"/>
              </w:rPr>
              <w:t>（μg/g）</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0" w:type="dxa"/>
            <w:tcBorders>
              <w:top w:val="single" w:color="000000" w:sz="4" w:space="0"/>
            </w:tcBorders>
            <w:vAlign w:val="center"/>
          </w:tcPr>
          <w:p>
            <w:pPr>
              <w:autoSpaceDE w:val="0"/>
              <w:autoSpaceDN w:val="0"/>
              <w:adjustRightInd w:val="0"/>
              <w:spacing w:line="300" w:lineRule="auto"/>
              <w:jc w:val="center"/>
              <w:rPr>
                <w:szCs w:val="21"/>
              </w:rPr>
            </w:pPr>
            <w:r>
              <w:rPr>
                <w:szCs w:val="21"/>
              </w:rPr>
              <w:t>1</w:t>
            </w:r>
          </w:p>
        </w:tc>
        <w:tc>
          <w:tcPr>
            <w:tcW w:w="1469" w:type="dxa"/>
            <w:tcBorders>
              <w:top w:val="single" w:color="000000" w:sz="4" w:space="0"/>
            </w:tcBorders>
            <w:vAlign w:val="center"/>
          </w:tcPr>
          <w:p>
            <w:pPr>
              <w:autoSpaceDE w:val="0"/>
              <w:autoSpaceDN w:val="0"/>
              <w:adjustRightInd w:val="0"/>
              <w:spacing w:line="300" w:lineRule="auto"/>
              <w:jc w:val="center"/>
              <w:rPr>
                <w:kern w:val="0"/>
                <w:szCs w:val="21"/>
              </w:rPr>
            </w:pPr>
            <w:r>
              <w:rPr>
                <w:szCs w:val="21"/>
              </w:rPr>
              <w:t>α-熊果苷</w:t>
            </w:r>
          </w:p>
        </w:tc>
        <w:tc>
          <w:tcPr>
            <w:tcW w:w="1403" w:type="dxa"/>
            <w:tcBorders>
              <w:top w:val="single" w:color="000000" w:sz="4" w:space="0"/>
            </w:tcBorders>
            <w:vAlign w:val="center"/>
          </w:tcPr>
          <w:p>
            <w:pPr>
              <w:autoSpaceDE w:val="0"/>
              <w:autoSpaceDN w:val="0"/>
              <w:adjustRightInd w:val="0"/>
              <w:spacing w:line="300" w:lineRule="auto"/>
              <w:jc w:val="center"/>
              <w:rPr>
                <w:kern w:val="0"/>
                <w:szCs w:val="21"/>
              </w:rPr>
            </w:pPr>
            <w:r>
              <w:rPr>
                <w:kern w:val="0"/>
                <w:szCs w:val="21"/>
              </w:rPr>
              <w:t>1.0</w:t>
            </w:r>
          </w:p>
        </w:tc>
        <w:tc>
          <w:tcPr>
            <w:tcW w:w="1430" w:type="dxa"/>
            <w:tcBorders>
              <w:top w:val="single" w:color="000000" w:sz="4" w:space="0"/>
            </w:tcBorders>
            <w:vAlign w:val="center"/>
          </w:tcPr>
          <w:p>
            <w:pPr>
              <w:autoSpaceDE w:val="0"/>
              <w:autoSpaceDN w:val="0"/>
              <w:adjustRightInd w:val="0"/>
              <w:spacing w:line="300" w:lineRule="auto"/>
              <w:jc w:val="center"/>
              <w:rPr>
                <w:kern w:val="0"/>
                <w:szCs w:val="21"/>
              </w:rPr>
            </w:pPr>
            <w:r>
              <w:rPr>
                <w:kern w:val="0"/>
                <w:szCs w:val="21"/>
              </w:rPr>
              <w:t>2.5</w:t>
            </w:r>
          </w:p>
        </w:tc>
        <w:tc>
          <w:tcPr>
            <w:tcW w:w="1639" w:type="dxa"/>
            <w:tcBorders>
              <w:top w:val="single" w:color="000000" w:sz="4" w:space="0"/>
            </w:tcBorders>
            <w:vAlign w:val="center"/>
          </w:tcPr>
          <w:p>
            <w:pPr>
              <w:autoSpaceDE w:val="0"/>
              <w:autoSpaceDN w:val="0"/>
              <w:adjustRightInd w:val="0"/>
              <w:spacing w:line="300" w:lineRule="auto"/>
              <w:jc w:val="center"/>
              <w:rPr>
                <w:kern w:val="0"/>
                <w:szCs w:val="21"/>
              </w:rPr>
            </w:pPr>
            <w:r>
              <w:rPr>
                <w:kern w:val="0"/>
                <w:szCs w:val="21"/>
              </w:rPr>
              <w:t>2.0</w:t>
            </w:r>
          </w:p>
        </w:tc>
        <w:tc>
          <w:tcPr>
            <w:tcW w:w="1731" w:type="dxa"/>
            <w:tcBorders>
              <w:top w:val="single" w:color="000000" w:sz="4" w:space="0"/>
            </w:tcBorders>
            <w:vAlign w:val="center"/>
          </w:tcPr>
          <w:p>
            <w:pPr>
              <w:autoSpaceDE w:val="0"/>
              <w:autoSpaceDN w:val="0"/>
              <w:adjustRightInd w:val="0"/>
              <w:spacing w:line="300" w:lineRule="auto"/>
              <w:jc w:val="center"/>
              <w:rPr>
                <w:kern w:val="0"/>
                <w:szCs w:val="21"/>
              </w:rPr>
            </w:pPr>
            <w:r>
              <w:rPr>
                <w:kern w:val="0"/>
                <w:szCs w:val="21"/>
              </w:rPr>
              <w:t>5.0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0" w:type="dxa"/>
            <w:vAlign w:val="center"/>
          </w:tcPr>
          <w:p>
            <w:pPr>
              <w:autoSpaceDE w:val="0"/>
              <w:autoSpaceDN w:val="0"/>
              <w:adjustRightInd w:val="0"/>
              <w:spacing w:line="300" w:lineRule="auto"/>
              <w:jc w:val="center"/>
              <w:rPr>
                <w:szCs w:val="21"/>
              </w:rPr>
            </w:pPr>
            <w:r>
              <w:rPr>
                <w:szCs w:val="21"/>
              </w:rPr>
              <w:t>2</w:t>
            </w:r>
          </w:p>
        </w:tc>
        <w:tc>
          <w:tcPr>
            <w:tcW w:w="1469" w:type="dxa"/>
            <w:vAlign w:val="center"/>
          </w:tcPr>
          <w:p>
            <w:pPr>
              <w:autoSpaceDE w:val="0"/>
              <w:autoSpaceDN w:val="0"/>
              <w:adjustRightInd w:val="0"/>
              <w:spacing w:line="300" w:lineRule="auto"/>
              <w:jc w:val="center"/>
              <w:rPr>
                <w:kern w:val="0"/>
                <w:szCs w:val="21"/>
              </w:rPr>
            </w:pPr>
            <w:r>
              <w:rPr>
                <w:szCs w:val="21"/>
              </w:rPr>
              <w:t>熊果苷</w:t>
            </w:r>
          </w:p>
        </w:tc>
        <w:tc>
          <w:tcPr>
            <w:tcW w:w="1403" w:type="dxa"/>
            <w:vAlign w:val="center"/>
          </w:tcPr>
          <w:p>
            <w:pPr>
              <w:autoSpaceDE w:val="0"/>
              <w:autoSpaceDN w:val="0"/>
              <w:adjustRightInd w:val="0"/>
              <w:spacing w:line="300" w:lineRule="auto"/>
              <w:jc w:val="center"/>
              <w:rPr>
                <w:kern w:val="0"/>
                <w:szCs w:val="21"/>
              </w:rPr>
            </w:pPr>
            <w:r>
              <w:rPr>
                <w:kern w:val="0"/>
                <w:szCs w:val="21"/>
              </w:rPr>
              <w:t>1.0</w:t>
            </w:r>
          </w:p>
        </w:tc>
        <w:tc>
          <w:tcPr>
            <w:tcW w:w="1430" w:type="dxa"/>
            <w:vAlign w:val="center"/>
          </w:tcPr>
          <w:p>
            <w:pPr>
              <w:autoSpaceDE w:val="0"/>
              <w:autoSpaceDN w:val="0"/>
              <w:adjustRightInd w:val="0"/>
              <w:spacing w:line="300" w:lineRule="auto"/>
              <w:jc w:val="center"/>
              <w:rPr>
                <w:kern w:val="0"/>
                <w:szCs w:val="21"/>
              </w:rPr>
            </w:pPr>
            <w:r>
              <w:rPr>
                <w:kern w:val="0"/>
                <w:szCs w:val="21"/>
              </w:rPr>
              <w:t>2.5</w:t>
            </w:r>
          </w:p>
        </w:tc>
        <w:tc>
          <w:tcPr>
            <w:tcW w:w="1639" w:type="dxa"/>
            <w:vAlign w:val="center"/>
          </w:tcPr>
          <w:p>
            <w:pPr>
              <w:autoSpaceDE w:val="0"/>
              <w:autoSpaceDN w:val="0"/>
              <w:adjustRightInd w:val="0"/>
              <w:spacing w:line="300" w:lineRule="auto"/>
              <w:jc w:val="center"/>
              <w:rPr>
                <w:kern w:val="0"/>
                <w:szCs w:val="21"/>
              </w:rPr>
            </w:pPr>
            <w:r>
              <w:rPr>
                <w:kern w:val="0"/>
                <w:szCs w:val="21"/>
              </w:rPr>
              <w:t>2.0</w:t>
            </w:r>
          </w:p>
        </w:tc>
        <w:tc>
          <w:tcPr>
            <w:tcW w:w="1731" w:type="dxa"/>
            <w:vAlign w:val="center"/>
          </w:tcPr>
          <w:p>
            <w:pPr>
              <w:autoSpaceDE w:val="0"/>
              <w:autoSpaceDN w:val="0"/>
              <w:adjustRightInd w:val="0"/>
              <w:spacing w:line="300" w:lineRule="auto"/>
              <w:jc w:val="center"/>
              <w:rPr>
                <w:kern w:val="0"/>
                <w:szCs w:val="21"/>
              </w:rPr>
            </w:pPr>
            <w:r>
              <w:rPr>
                <w:kern w:val="0"/>
                <w:szCs w:val="21"/>
              </w:rPr>
              <w:t>5.0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PrEx>
        <w:trPr>
          <w:jc w:val="center"/>
        </w:trPr>
        <w:tc>
          <w:tcPr>
            <w:tcW w:w="1180" w:type="dxa"/>
            <w:vAlign w:val="center"/>
          </w:tcPr>
          <w:p>
            <w:pPr>
              <w:autoSpaceDE w:val="0"/>
              <w:autoSpaceDN w:val="0"/>
              <w:adjustRightInd w:val="0"/>
              <w:spacing w:line="300" w:lineRule="auto"/>
              <w:jc w:val="center"/>
              <w:rPr>
                <w:szCs w:val="21"/>
              </w:rPr>
            </w:pPr>
            <w:r>
              <w:rPr>
                <w:szCs w:val="21"/>
              </w:rPr>
              <w:t>3</w:t>
            </w:r>
          </w:p>
        </w:tc>
        <w:tc>
          <w:tcPr>
            <w:tcW w:w="1469" w:type="dxa"/>
            <w:vAlign w:val="center"/>
          </w:tcPr>
          <w:p>
            <w:pPr>
              <w:autoSpaceDE w:val="0"/>
              <w:autoSpaceDN w:val="0"/>
              <w:adjustRightInd w:val="0"/>
              <w:spacing w:line="300" w:lineRule="auto"/>
              <w:jc w:val="center"/>
              <w:rPr>
                <w:kern w:val="0"/>
                <w:szCs w:val="21"/>
              </w:rPr>
            </w:pPr>
            <w:r>
              <w:rPr>
                <w:szCs w:val="21"/>
              </w:rPr>
              <w:t>氢醌</w:t>
            </w:r>
          </w:p>
        </w:tc>
        <w:tc>
          <w:tcPr>
            <w:tcW w:w="1403" w:type="dxa"/>
            <w:vAlign w:val="center"/>
          </w:tcPr>
          <w:p>
            <w:pPr>
              <w:autoSpaceDE w:val="0"/>
              <w:autoSpaceDN w:val="0"/>
              <w:adjustRightInd w:val="0"/>
              <w:spacing w:line="300" w:lineRule="auto"/>
              <w:jc w:val="center"/>
              <w:rPr>
                <w:kern w:val="0"/>
                <w:szCs w:val="21"/>
              </w:rPr>
            </w:pPr>
            <w:r>
              <w:rPr>
                <w:kern w:val="0"/>
                <w:szCs w:val="21"/>
              </w:rPr>
              <w:t>0.10</w:t>
            </w:r>
          </w:p>
        </w:tc>
        <w:tc>
          <w:tcPr>
            <w:tcW w:w="1430" w:type="dxa"/>
            <w:vAlign w:val="center"/>
          </w:tcPr>
          <w:p>
            <w:pPr>
              <w:autoSpaceDE w:val="0"/>
              <w:autoSpaceDN w:val="0"/>
              <w:adjustRightInd w:val="0"/>
              <w:spacing w:line="300" w:lineRule="auto"/>
              <w:jc w:val="center"/>
              <w:rPr>
                <w:kern w:val="0"/>
                <w:szCs w:val="21"/>
              </w:rPr>
            </w:pPr>
            <w:r>
              <w:rPr>
                <w:kern w:val="0"/>
                <w:szCs w:val="21"/>
              </w:rPr>
              <w:t>0.30</w:t>
            </w:r>
          </w:p>
        </w:tc>
        <w:tc>
          <w:tcPr>
            <w:tcW w:w="1639" w:type="dxa"/>
            <w:vAlign w:val="center"/>
          </w:tcPr>
          <w:p>
            <w:pPr>
              <w:autoSpaceDE w:val="0"/>
              <w:autoSpaceDN w:val="0"/>
              <w:adjustRightInd w:val="0"/>
              <w:spacing w:line="300" w:lineRule="auto"/>
              <w:jc w:val="center"/>
              <w:rPr>
                <w:kern w:val="0"/>
                <w:szCs w:val="21"/>
              </w:rPr>
            </w:pPr>
            <w:r>
              <w:rPr>
                <w:kern w:val="0"/>
                <w:szCs w:val="21"/>
              </w:rPr>
              <w:t>0.20</w:t>
            </w:r>
          </w:p>
        </w:tc>
        <w:tc>
          <w:tcPr>
            <w:tcW w:w="1731" w:type="dxa"/>
            <w:vAlign w:val="center"/>
          </w:tcPr>
          <w:p>
            <w:pPr>
              <w:autoSpaceDE w:val="0"/>
              <w:autoSpaceDN w:val="0"/>
              <w:adjustRightInd w:val="0"/>
              <w:spacing w:line="300" w:lineRule="auto"/>
              <w:jc w:val="center"/>
              <w:rPr>
                <w:kern w:val="0"/>
                <w:szCs w:val="21"/>
              </w:rPr>
            </w:pPr>
            <w:r>
              <w:rPr>
                <w:kern w:val="0"/>
                <w:szCs w:val="21"/>
              </w:rPr>
              <w:t>0.60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0" w:type="dxa"/>
            <w:tcBorders>
              <w:bottom w:val="single" w:color="000000" w:sz="4" w:space="0"/>
            </w:tcBorders>
            <w:vAlign w:val="center"/>
          </w:tcPr>
          <w:p>
            <w:pPr>
              <w:autoSpaceDE w:val="0"/>
              <w:autoSpaceDN w:val="0"/>
              <w:adjustRightInd w:val="0"/>
              <w:spacing w:line="300" w:lineRule="auto"/>
              <w:jc w:val="center"/>
              <w:rPr>
                <w:szCs w:val="21"/>
              </w:rPr>
            </w:pPr>
            <w:r>
              <w:rPr>
                <w:szCs w:val="21"/>
              </w:rPr>
              <w:t>4</w:t>
            </w:r>
          </w:p>
        </w:tc>
        <w:tc>
          <w:tcPr>
            <w:tcW w:w="1469" w:type="dxa"/>
            <w:tcBorders>
              <w:bottom w:val="single" w:color="000000" w:sz="4" w:space="0"/>
            </w:tcBorders>
            <w:vAlign w:val="center"/>
          </w:tcPr>
          <w:p>
            <w:pPr>
              <w:autoSpaceDE w:val="0"/>
              <w:autoSpaceDN w:val="0"/>
              <w:adjustRightInd w:val="0"/>
              <w:spacing w:line="300" w:lineRule="auto"/>
              <w:jc w:val="center"/>
              <w:rPr>
                <w:kern w:val="0"/>
                <w:szCs w:val="21"/>
              </w:rPr>
            </w:pPr>
            <w:r>
              <w:rPr>
                <w:szCs w:val="21"/>
              </w:rPr>
              <w:t>苯酚</w:t>
            </w:r>
          </w:p>
        </w:tc>
        <w:tc>
          <w:tcPr>
            <w:tcW w:w="1403" w:type="dxa"/>
            <w:tcBorders>
              <w:bottom w:val="single" w:color="000000" w:sz="4" w:space="0"/>
            </w:tcBorders>
            <w:vAlign w:val="center"/>
          </w:tcPr>
          <w:p>
            <w:pPr>
              <w:autoSpaceDE w:val="0"/>
              <w:autoSpaceDN w:val="0"/>
              <w:adjustRightInd w:val="0"/>
              <w:spacing w:line="300" w:lineRule="auto"/>
              <w:jc w:val="center"/>
              <w:rPr>
                <w:kern w:val="0"/>
                <w:szCs w:val="21"/>
              </w:rPr>
            </w:pPr>
            <w:r>
              <w:rPr>
                <w:kern w:val="0"/>
                <w:szCs w:val="21"/>
              </w:rPr>
              <w:t>0.10</w:t>
            </w:r>
          </w:p>
        </w:tc>
        <w:tc>
          <w:tcPr>
            <w:tcW w:w="1430" w:type="dxa"/>
            <w:tcBorders>
              <w:bottom w:val="single" w:color="000000" w:sz="4" w:space="0"/>
            </w:tcBorders>
            <w:vAlign w:val="center"/>
          </w:tcPr>
          <w:p>
            <w:pPr>
              <w:autoSpaceDE w:val="0"/>
              <w:autoSpaceDN w:val="0"/>
              <w:adjustRightInd w:val="0"/>
              <w:spacing w:line="300" w:lineRule="auto"/>
              <w:jc w:val="center"/>
              <w:rPr>
                <w:kern w:val="0"/>
                <w:szCs w:val="21"/>
              </w:rPr>
            </w:pPr>
            <w:r>
              <w:rPr>
                <w:kern w:val="0"/>
                <w:szCs w:val="21"/>
              </w:rPr>
              <w:t>0.30</w:t>
            </w:r>
          </w:p>
        </w:tc>
        <w:tc>
          <w:tcPr>
            <w:tcW w:w="1639" w:type="dxa"/>
            <w:tcBorders>
              <w:bottom w:val="single" w:color="000000" w:sz="4" w:space="0"/>
            </w:tcBorders>
            <w:vAlign w:val="center"/>
          </w:tcPr>
          <w:p>
            <w:pPr>
              <w:autoSpaceDE w:val="0"/>
              <w:autoSpaceDN w:val="0"/>
              <w:adjustRightInd w:val="0"/>
              <w:spacing w:line="300" w:lineRule="auto"/>
              <w:jc w:val="center"/>
              <w:rPr>
                <w:kern w:val="0"/>
                <w:szCs w:val="21"/>
              </w:rPr>
            </w:pPr>
            <w:r>
              <w:rPr>
                <w:kern w:val="0"/>
                <w:szCs w:val="21"/>
              </w:rPr>
              <w:t>0.20</w:t>
            </w:r>
          </w:p>
        </w:tc>
        <w:tc>
          <w:tcPr>
            <w:tcW w:w="1731" w:type="dxa"/>
            <w:tcBorders>
              <w:bottom w:val="single" w:color="000000" w:sz="4" w:space="0"/>
            </w:tcBorders>
            <w:vAlign w:val="center"/>
          </w:tcPr>
          <w:p>
            <w:pPr>
              <w:autoSpaceDE w:val="0"/>
              <w:autoSpaceDN w:val="0"/>
              <w:adjustRightInd w:val="0"/>
              <w:spacing w:line="300" w:lineRule="auto"/>
              <w:jc w:val="center"/>
              <w:rPr>
                <w:kern w:val="0"/>
                <w:szCs w:val="21"/>
              </w:rPr>
            </w:pPr>
            <w:r>
              <w:rPr>
                <w:kern w:val="0"/>
                <w:szCs w:val="21"/>
              </w:rPr>
              <w:t>0.60</w:t>
            </w:r>
          </w:p>
        </w:tc>
      </w:tr>
    </w:tbl>
    <w:p>
      <w:pPr>
        <w:autoSpaceDE w:val="0"/>
        <w:autoSpaceDN w:val="0"/>
        <w:adjustRightInd w:val="0"/>
        <w:snapToGrid w:val="0"/>
        <w:spacing w:before="120" w:beforeLines="50" w:after="120" w:afterLines="50" w:line="300" w:lineRule="auto"/>
        <w:rPr>
          <w:rFonts w:eastAsiaTheme="minorEastAsia"/>
          <w:bCs/>
          <w:kern w:val="0"/>
          <w:szCs w:val="21"/>
        </w:rPr>
      </w:pPr>
      <w:r>
        <w:rPr>
          <w:rFonts w:eastAsiaTheme="minorEastAsia"/>
          <w:bCs/>
          <w:kern w:val="0"/>
          <w:szCs w:val="21"/>
        </w:rPr>
        <w:t>注：本方法</w:t>
      </w:r>
      <w:r>
        <w:rPr>
          <w:rFonts w:hint="eastAsia" w:eastAsiaTheme="minorEastAsia"/>
          <w:bCs/>
          <w:kern w:val="0"/>
          <w:szCs w:val="21"/>
        </w:rPr>
        <w:t>中</w:t>
      </w:r>
      <w:r>
        <w:rPr>
          <w:rFonts w:eastAsiaTheme="minorEastAsia"/>
          <w:bCs/>
          <w:kern w:val="0"/>
          <w:szCs w:val="21"/>
        </w:rPr>
        <w:t>的</w:t>
      </w:r>
      <w:r>
        <w:rPr>
          <w:szCs w:val="21"/>
        </w:rPr>
        <w:t>熊果苷即指</w:t>
      </w:r>
      <w:r>
        <w:rPr>
          <w:rFonts w:eastAsiaTheme="minorEastAsia"/>
          <w:szCs w:val="21"/>
        </w:rPr>
        <w:t>β-熊果苷。</w:t>
      </w:r>
    </w:p>
    <w:p>
      <w:pPr>
        <w:autoSpaceDE w:val="0"/>
        <w:autoSpaceDN w:val="0"/>
        <w:adjustRightInd w:val="0"/>
        <w:snapToGrid w:val="0"/>
        <w:spacing w:before="120" w:beforeLines="50" w:after="120" w:afterLines="50" w:line="300" w:lineRule="auto"/>
        <w:rPr>
          <w:rFonts w:eastAsia="黑体"/>
          <w:kern w:val="0"/>
          <w:szCs w:val="21"/>
        </w:rPr>
      </w:pPr>
      <w:r>
        <w:rPr>
          <w:rFonts w:eastAsia="黑体"/>
          <w:bCs/>
          <w:kern w:val="0"/>
          <w:szCs w:val="21"/>
        </w:rPr>
        <w:t xml:space="preserve">3  </w:t>
      </w:r>
      <w:r>
        <w:rPr>
          <w:rFonts w:hint="eastAsia" w:eastAsia="黑体"/>
          <w:bCs/>
          <w:kern w:val="0"/>
          <w:szCs w:val="21"/>
        </w:rPr>
        <w:t xml:space="preserve"> </w:t>
      </w:r>
      <w:r>
        <w:rPr>
          <w:rFonts w:eastAsia="黑体"/>
          <w:kern w:val="0"/>
          <w:szCs w:val="21"/>
        </w:rPr>
        <w:t>试剂和材料</w:t>
      </w:r>
    </w:p>
    <w:p>
      <w:pPr>
        <w:autoSpaceDE w:val="0"/>
        <w:autoSpaceDN w:val="0"/>
        <w:adjustRightInd w:val="0"/>
        <w:snapToGrid w:val="0"/>
        <w:spacing w:before="120" w:beforeLines="50" w:after="120" w:afterLines="50" w:line="300" w:lineRule="auto"/>
        <w:ind w:firstLine="420" w:firstLineChars="200"/>
        <w:rPr>
          <w:kern w:val="0"/>
          <w:szCs w:val="21"/>
        </w:rPr>
      </w:pPr>
      <w:r>
        <w:rPr>
          <w:szCs w:val="21"/>
        </w:rPr>
        <w:t>除另有规定外，本方法所用试剂均为分析纯，水为GB/T 6682规定的一级水。</w:t>
      </w:r>
    </w:p>
    <w:p>
      <w:pPr>
        <w:autoSpaceDE w:val="0"/>
        <w:autoSpaceDN w:val="0"/>
        <w:adjustRightInd w:val="0"/>
        <w:snapToGrid w:val="0"/>
        <w:spacing w:before="120" w:beforeLines="50" w:after="120" w:afterLines="50" w:line="300" w:lineRule="auto"/>
        <w:rPr>
          <w:kern w:val="0"/>
          <w:szCs w:val="21"/>
        </w:rPr>
      </w:pPr>
      <w:r>
        <w:rPr>
          <w:kern w:val="0"/>
          <w:szCs w:val="21"/>
        </w:rPr>
        <w:t>3.1  甲醇，色谱纯。</w:t>
      </w:r>
    </w:p>
    <w:p>
      <w:pPr>
        <w:autoSpaceDE w:val="0"/>
        <w:autoSpaceDN w:val="0"/>
        <w:adjustRightInd w:val="0"/>
        <w:snapToGrid w:val="0"/>
        <w:spacing w:before="120" w:beforeLines="50" w:after="120" w:afterLines="50" w:line="300" w:lineRule="auto"/>
        <w:rPr>
          <w:kern w:val="0"/>
          <w:szCs w:val="21"/>
        </w:rPr>
      </w:pPr>
      <w:r>
        <w:rPr>
          <w:kern w:val="0"/>
          <w:szCs w:val="21"/>
        </w:rPr>
        <w:t xml:space="preserve">3.2  </w:t>
      </w:r>
      <w:r>
        <w:rPr>
          <w:szCs w:val="21"/>
        </w:rPr>
        <w:t>微孔滤膜（0.45 μm）</w:t>
      </w:r>
      <w:r>
        <w:rPr>
          <w:kern w:val="0"/>
          <w:szCs w:val="21"/>
        </w:rPr>
        <w:t>。</w:t>
      </w:r>
    </w:p>
    <w:p>
      <w:pPr>
        <w:autoSpaceDE w:val="0"/>
        <w:autoSpaceDN w:val="0"/>
        <w:adjustRightInd w:val="0"/>
        <w:snapToGrid w:val="0"/>
        <w:spacing w:before="120" w:beforeLines="50" w:after="120" w:afterLines="50" w:line="300" w:lineRule="auto"/>
        <w:rPr>
          <w:szCs w:val="21"/>
        </w:rPr>
      </w:pPr>
      <w:r>
        <w:rPr>
          <w:kern w:val="0"/>
          <w:szCs w:val="21"/>
        </w:rPr>
        <w:t>3.3  标准品：</w:t>
      </w:r>
      <w:r>
        <w:rPr>
          <w:szCs w:val="21"/>
        </w:rPr>
        <w:t>α-熊果苷等4种原料的标准品信息详见附录A。</w:t>
      </w:r>
    </w:p>
    <w:p>
      <w:pPr>
        <w:autoSpaceDE w:val="0"/>
        <w:autoSpaceDN w:val="0"/>
        <w:adjustRightInd w:val="0"/>
        <w:snapToGrid w:val="0"/>
        <w:spacing w:before="120" w:beforeLines="50" w:after="120" w:afterLines="50" w:line="300" w:lineRule="auto"/>
        <w:rPr>
          <w:kern w:val="0"/>
          <w:szCs w:val="21"/>
        </w:rPr>
      </w:pPr>
      <w:r>
        <w:rPr>
          <w:kern w:val="0"/>
          <w:szCs w:val="21"/>
        </w:rPr>
        <w:t>3.4  标准储备溶液：分别称取</w:t>
      </w:r>
      <w:r>
        <w:rPr>
          <w:szCs w:val="21"/>
        </w:rPr>
        <w:t>α-熊果苷等4种原料标准品（3.3）各1</w:t>
      </w:r>
      <w:r>
        <w:rPr>
          <w:kern w:val="0"/>
          <w:szCs w:val="21"/>
        </w:rPr>
        <w:t>0 mg（精确至0.00001 g），置于不同10 mL容量瓶中，用甲醇（3.1）溶解并定容至刻度，配制成浓度均为1 mg/mL的标准储备溶液。</w:t>
      </w:r>
    </w:p>
    <w:p>
      <w:pPr>
        <w:autoSpaceDE w:val="0"/>
        <w:autoSpaceDN w:val="0"/>
        <w:adjustRightInd w:val="0"/>
        <w:snapToGrid w:val="0"/>
        <w:spacing w:before="120" w:beforeLines="50" w:after="120" w:afterLines="50" w:line="300" w:lineRule="auto"/>
        <w:rPr>
          <w:rFonts w:eastAsia="黑体"/>
          <w:kern w:val="0"/>
          <w:szCs w:val="21"/>
        </w:rPr>
      </w:pPr>
      <w:r>
        <w:rPr>
          <w:rFonts w:eastAsia="黑体"/>
          <w:bCs/>
          <w:kern w:val="0"/>
          <w:szCs w:val="21"/>
        </w:rPr>
        <w:t xml:space="preserve">4  </w:t>
      </w:r>
      <w:r>
        <w:rPr>
          <w:rFonts w:hint="eastAsia" w:eastAsia="黑体"/>
          <w:bCs/>
          <w:kern w:val="0"/>
          <w:szCs w:val="21"/>
        </w:rPr>
        <w:t xml:space="preserve"> </w:t>
      </w:r>
      <w:r>
        <w:rPr>
          <w:rFonts w:eastAsia="黑体"/>
          <w:kern w:val="0"/>
          <w:szCs w:val="21"/>
        </w:rPr>
        <w:t>仪器和设备</w:t>
      </w:r>
    </w:p>
    <w:p>
      <w:pPr>
        <w:autoSpaceDE w:val="0"/>
        <w:autoSpaceDN w:val="0"/>
        <w:adjustRightInd w:val="0"/>
        <w:snapToGrid w:val="0"/>
        <w:spacing w:before="120" w:beforeLines="50" w:after="120" w:afterLines="50" w:line="300" w:lineRule="auto"/>
        <w:rPr>
          <w:kern w:val="0"/>
          <w:szCs w:val="21"/>
        </w:rPr>
      </w:pPr>
      <w:r>
        <w:rPr>
          <w:kern w:val="0"/>
          <w:szCs w:val="21"/>
        </w:rPr>
        <w:t>4.1  高效液相色谱仪，荧光检测器。</w:t>
      </w:r>
    </w:p>
    <w:p>
      <w:pPr>
        <w:autoSpaceDE w:val="0"/>
        <w:autoSpaceDN w:val="0"/>
        <w:adjustRightInd w:val="0"/>
        <w:snapToGrid w:val="0"/>
        <w:spacing w:before="120" w:beforeLines="50" w:after="120" w:afterLines="50" w:line="300" w:lineRule="auto"/>
        <w:rPr>
          <w:kern w:val="0"/>
          <w:szCs w:val="21"/>
        </w:rPr>
      </w:pPr>
      <w:r>
        <w:rPr>
          <w:kern w:val="0"/>
          <w:szCs w:val="21"/>
        </w:rPr>
        <w:t>4.2  天平</w:t>
      </w:r>
      <w:r>
        <w:rPr>
          <w:szCs w:val="21"/>
        </w:rPr>
        <w:t>。</w:t>
      </w:r>
    </w:p>
    <w:p>
      <w:pPr>
        <w:autoSpaceDE w:val="0"/>
        <w:autoSpaceDN w:val="0"/>
        <w:adjustRightInd w:val="0"/>
        <w:snapToGrid w:val="0"/>
        <w:spacing w:before="120" w:beforeLines="50" w:after="120" w:afterLines="50" w:line="300" w:lineRule="auto"/>
        <w:rPr>
          <w:kern w:val="0"/>
          <w:szCs w:val="21"/>
        </w:rPr>
      </w:pPr>
      <w:r>
        <w:rPr>
          <w:kern w:val="0"/>
          <w:szCs w:val="21"/>
        </w:rPr>
        <w:t>4.3  离心机，转速不低于14000 r/min</w:t>
      </w:r>
      <w:r>
        <w:rPr>
          <w:szCs w:val="21"/>
        </w:rPr>
        <w:t>。</w:t>
      </w:r>
    </w:p>
    <w:p>
      <w:pPr>
        <w:autoSpaceDE w:val="0"/>
        <w:autoSpaceDN w:val="0"/>
        <w:adjustRightInd w:val="0"/>
        <w:snapToGrid w:val="0"/>
        <w:spacing w:before="120" w:beforeLines="50" w:after="120" w:afterLines="50" w:line="300" w:lineRule="auto"/>
        <w:rPr>
          <w:kern w:val="0"/>
          <w:szCs w:val="21"/>
        </w:rPr>
      </w:pPr>
      <w:r>
        <w:rPr>
          <w:kern w:val="0"/>
          <w:szCs w:val="21"/>
        </w:rPr>
        <w:t>4.4  超声波清洗器。</w:t>
      </w:r>
    </w:p>
    <w:p>
      <w:pPr>
        <w:autoSpaceDE w:val="0"/>
        <w:autoSpaceDN w:val="0"/>
        <w:adjustRightInd w:val="0"/>
        <w:snapToGrid w:val="0"/>
        <w:spacing w:before="120" w:beforeLines="50" w:after="120" w:afterLines="50" w:line="300" w:lineRule="auto"/>
        <w:rPr>
          <w:kern w:val="0"/>
          <w:szCs w:val="21"/>
        </w:rPr>
      </w:pPr>
      <w:r>
        <w:rPr>
          <w:kern w:val="0"/>
          <w:szCs w:val="21"/>
        </w:rPr>
        <w:t>4.5  涡旋振荡器。</w:t>
      </w:r>
    </w:p>
    <w:p>
      <w:pPr>
        <w:autoSpaceDE w:val="0"/>
        <w:autoSpaceDN w:val="0"/>
        <w:adjustRightInd w:val="0"/>
        <w:snapToGrid w:val="0"/>
        <w:spacing w:before="120" w:beforeLines="50" w:after="120" w:afterLines="50" w:line="300" w:lineRule="auto"/>
        <w:rPr>
          <w:rFonts w:eastAsia="黑体"/>
          <w:kern w:val="0"/>
          <w:szCs w:val="21"/>
        </w:rPr>
      </w:pPr>
      <w:r>
        <w:rPr>
          <w:rFonts w:eastAsia="黑体"/>
          <w:bCs/>
          <w:kern w:val="0"/>
          <w:szCs w:val="21"/>
        </w:rPr>
        <w:t xml:space="preserve">5  </w:t>
      </w:r>
      <w:r>
        <w:rPr>
          <w:rFonts w:hint="eastAsia" w:eastAsia="黑体"/>
          <w:bCs/>
          <w:kern w:val="0"/>
          <w:szCs w:val="21"/>
        </w:rPr>
        <w:t xml:space="preserve"> </w:t>
      </w:r>
      <w:r>
        <w:rPr>
          <w:rFonts w:eastAsia="黑体"/>
          <w:kern w:val="0"/>
          <w:szCs w:val="21"/>
        </w:rPr>
        <w:t>分析步骤</w:t>
      </w:r>
    </w:p>
    <w:p>
      <w:pPr>
        <w:autoSpaceDE w:val="0"/>
        <w:autoSpaceDN w:val="0"/>
        <w:adjustRightInd w:val="0"/>
        <w:snapToGrid w:val="0"/>
        <w:spacing w:before="120" w:beforeLines="50" w:after="120" w:afterLines="50" w:line="300" w:lineRule="auto"/>
        <w:rPr>
          <w:kern w:val="0"/>
          <w:szCs w:val="21"/>
        </w:rPr>
      </w:pPr>
      <w:r>
        <w:rPr>
          <w:kern w:val="0"/>
          <w:szCs w:val="21"/>
        </w:rPr>
        <w:t>5.1  混合标准溶液的制备</w: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分别准确量取</w:t>
      </w:r>
      <w:r>
        <w:rPr>
          <w:szCs w:val="21"/>
        </w:rPr>
        <w:t>α-熊果苷</w:t>
      </w:r>
      <w:r>
        <w:rPr>
          <w:kern w:val="0"/>
          <w:szCs w:val="21"/>
        </w:rPr>
        <w:t>标准储备溶液（3.4）1 mL</w:t>
      </w:r>
      <w:r>
        <w:rPr>
          <w:szCs w:val="21"/>
        </w:rPr>
        <w:t>、熊果苷</w:t>
      </w:r>
      <w:r>
        <w:rPr>
          <w:kern w:val="0"/>
          <w:szCs w:val="21"/>
        </w:rPr>
        <w:t>标准储备溶液（3.4）1 mL</w:t>
      </w:r>
      <w:r>
        <w:rPr>
          <w:szCs w:val="21"/>
        </w:rPr>
        <w:t>、氢醌</w:t>
      </w:r>
      <w:r>
        <w:rPr>
          <w:kern w:val="0"/>
          <w:szCs w:val="21"/>
        </w:rPr>
        <w:t>标准储备溶液（3.4）0.1 mL</w:t>
      </w:r>
      <w:r>
        <w:rPr>
          <w:szCs w:val="21"/>
        </w:rPr>
        <w:t>和苯酚</w:t>
      </w:r>
      <w:r>
        <w:rPr>
          <w:kern w:val="0"/>
          <w:szCs w:val="21"/>
        </w:rPr>
        <w:t>标准储备溶液（3.4）0.2 mL，置同一个10 mL容量瓶中，用甲醇（3.1）定容至刻度，配制成</w:t>
      </w:r>
      <w:r>
        <w:rPr>
          <w:szCs w:val="21"/>
        </w:rPr>
        <w:t>α-熊果苷、熊果苷、氢醌和苯酚</w:t>
      </w:r>
      <w:r>
        <w:rPr>
          <w:kern w:val="0"/>
          <w:szCs w:val="21"/>
        </w:rPr>
        <w:t>浓度分别为100、100、10、20 μg/mL的混合标准溶液。</w:t>
      </w:r>
    </w:p>
    <w:p>
      <w:pPr>
        <w:autoSpaceDE w:val="0"/>
        <w:autoSpaceDN w:val="0"/>
        <w:adjustRightInd w:val="0"/>
        <w:snapToGrid w:val="0"/>
        <w:spacing w:before="120" w:beforeLines="50" w:after="120" w:afterLines="50" w:line="300" w:lineRule="auto"/>
        <w:rPr>
          <w:kern w:val="0"/>
          <w:szCs w:val="21"/>
        </w:rPr>
      </w:pPr>
      <w:r>
        <w:rPr>
          <w:kern w:val="0"/>
          <w:szCs w:val="21"/>
        </w:rPr>
        <w:t>5.2  混合标准系列溶液的制备</w:t>
      </w:r>
    </w:p>
    <w:p>
      <w:pPr>
        <w:autoSpaceDE w:val="0"/>
        <w:autoSpaceDN w:val="0"/>
        <w:adjustRightInd w:val="0"/>
        <w:snapToGrid w:val="0"/>
        <w:spacing w:before="120" w:beforeLines="50" w:after="120" w:afterLines="50" w:line="300" w:lineRule="auto"/>
        <w:ind w:firstLine="420" w:firstLineChars="200"/>
        <w:rPr>
          <w:rFonts w:eastAsia="黑体"/>
          <w:szCs w:val="21"/>
        </w:rPr>
      </w:pPr>
      <w:r>
        <w:rPr>
          <w:kern w:val="0"/>
          <w:szCs w:val="21"/>
        </w:rPr>
        <w:t>准确量取不同体积的混合标准溶液（5.1），</w:t>
      </w:r>
      <w:r>
        <w:rPr>
          <w:szCs w:val="21"/>
        </w:rPr>
        <w:t>用甲醇（3.1）配制成浓度如表2所示的</w:t>
      </w:r>
      <w:r>
        <w:rPr>
          <w:kern w:val="0"/>
          <w:szCs w:val="21"/>
        </w:rPr>
        <w:t>混合</w:t>
      </w:r>
      <w:r>
        <w:rPr>
          <w:szCs w:val="21"/>
        </w:rPr>
        <w:t>标准系列溶液。</w:t>
      </w:r>
    </w:p>
    <w:p>
      <w:pPr>
        <w:autoSpaceDE w:val="0"/>
        <w:autoSpaceDN w:val="0"/>
        <w:adjustRightInd w:val="0"/>
        <w:snapToGrid w:val="0"/>
        <w:spacing w:before="120" w:beforeLines="50" w:after="120" w:afterLines="50" w:line="300" w:lineRule="auto"/>
        <w:ind w:firstLine="420" w:firstLineChars="200"/>
        <w:jc w:val="center"/>
        <w:rPr>
          <w:rFonts w:eastAsia="黑体"/>
          <w:szCs w:val="21"/>
        </w:rPr>
      </w:pPr>
      <w:r>
        <w:rPr>
          <w:rFonts w:eastAsia="黑体"/>
          <w:szCs w:val="21"/>
        </w:rPr>
        <w:t>表2  标准储备溶液浓度及混合标准系列溶液浓度</w:t>
      </w:r>
    </w:p>
    <w:tbl>
      <w:tblPr>
        <w:tblStyle w:val="7"/>
        <w:tblW w:w="8851" w:type="dxa"/>
        <w:jc w:val="center"/>
        <w:tblLayout w:type="fixed"/>
        <w:tblCellMar>
          <w:top w:w="0" w:type="dxa"/>
          <w:left w:w="108" w:type="dxa"/>
          <w:bottom w:w="0" w:type="dxa"/>
          <w:right w:w="108" w:type="dxa"/>
        </w:tblCellMar>
      </w:tblPr>
      <w:tblGrid>
        <w:gridCol w:w="652"/>
        <w:gridCol w:w="1084"/>
        <w:gridCol w:w="1948"/>
        <w:gridCol w:w="1948"/>
        <w:gridCol w:w="707"/>
        <w:gridCol w:w="598"/>
        <w:gridCol w:w="490"/>
        <w:gridCol w:w="490"/>
        <w:gridCol w:w="490"/>
        <w:gridCol w:w="444"/>
      </w:tblGrid>
      <w:tr>
        <w:tblPrEx>
          <w:tblCellMar>
            <w:top w:w="0" w:type="dxa"/>
            <w:left w:w="108" w:type="dxa"/>
            <w:bottom w:w="0" w:type="dxa"/>
            <w:right w:w="108" w:type="dxa"/>
          </w:tblCellMar>
        </w:tblPrEx>
        <w:trPr>
          <w:trHeight w:val="810" w:hRule="atLeast"/>
          <w:jc w:val="center"/>
        </w:trPr>
        <w:tc>
          <w:tcPr>
            <w:tcW w:w="652" w:type="dxa"/>
            <w:tcBorders>
              <w:top w:val="single" w:color="auto" w:sz="4" w:space="0"/>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序号</w:t>
            </w:r>
          </w:p>
        </w:tc>
        <w:tc>
          <w:tcPr>
            <w:tcW w:w="1084" w:type="dxa"/>
            <w:tcBorders>
              <w:top w:val="single" w:color="auto" w:sz="4" w:space="0"/>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原料名称</w:t>
            </w:r>
          </w:p>
        </w:tc>
        <w:tc>
          <w:tcPr>
            <w:tcW w:w="1948" w:type="dxa"/>
            <w:tcBorders>
              <w:top w:val="single" w:color="auto" w:sz="4" w:space="0"/>
              <w:left w:val="nil"/>
              <w:bottom w:val="single" w:color="auto" w:sz="4" w:space="0"/>
              <w:right w:val="nil"/>
            </w:tcBorders>
            <w:shd w:val="clear" w:color="auto" w:fill="auto"/>
            <w:vAlign w:val="center"/>
          </w:tcPr>
          <w:p>
            <w:pPr>
              <w:widowControl/>
              <w:jc w:val="center"/>
              <w:rPr>
                <w:szCs w:val="21"/>
              </w:rPr>
            </w:pPr>
            <w:r>
              <w:rPr>
                <w:color w:val="000000"/>
                <w:kern w:val="0"/>
                <w:szCs w:val="21"/>
              </w:rPr>
              <w:t>标准储备溶液</w:t>
            </w:r>
            <w:r>
              <w:rPr>
                <w:szCs w:val="21"/>
              </w:rPr>
              <w:t>浓度</w:t>
            </w:r>
          </w:p>
          <w:p>
            <w:pPr>
              <w:widowControl/>
              <w:jc w:val="center"/>
              <w:rPr>
                <w:color w:val="000000"/>
                <w:kern w:val="0"/>
                <w:szCs w:val="21"/>
              </w:rPr>
            </w:pPr>
            <w:r>
              <w:rPr>
                <w:color w:val="000000"/>
                <w:kern w:val="0"/>
                <w:szCs w:val="21"/>
              </w:rPr>
              <w:t>（μg/mL）</w:t>
            </w:r>
          </w:p>
        </w:tc>
        <w:tc>
          <w:tcPr>
            <w:tcW w:w="1948" w:type="dxa"/>
            <w:tcBorders>
              <w:top w:val="single" w:color="auto" w:sz="4" w:space="0"/>
              <w:left w:val="nil"/>
              <w:bottom w:val="single" w:color="auto" w:sz="4" w:space="0"/>
              <w:right w:val="nil"/>
            </w:tcBorders>
            <w:shd w:val="clear" w:color="auto" w:fill="auto"/>
            <w:vAlign w:val="center"/>
          </w:tcPr>
          <w:p>
            <w:pPr>
              <w:widowControl/>
              <w:jc w:val="center"/>
              <w:rPr>
                <w:szCs w:val="21"/>
              </w:rPr>
            </w:pPr>
            <w:r>
              <w:rPr>
                <w:color w:val="000000"/>
                <w:kern w:val="0"/>
                <w:szCs w:val="21"/>
              </w:rPr>
              <w:t>混合标准溶液</w:t>
            </w:r>
            <w:r>
              <w:rPr>
                <w:szCs w:val="21"/>
              </w:rPr>
              <w:t>浓度</w:t>
            </w:r>
          </w:p>
          <w:p>
            <w:pPr>
              <w:widowControl/>
              <w:jc w:val="center"/>
              <w:rPr>
                <w:color w:val="000000"/>
                <w:kern w:val="0"/>
                <w:szCs w:val="21"/>
              </w:rPr>
            </w:pPr>
            <w:r>
              <w:rPr>
                <w:color w:val="000000"/>
                <w:kern w:val="0"/>
                <w:szCs w:val="21"/>
              </w:rPr>
              <w:t>（μg/mL）</w:t>
            </w:r>
          </w:p>
        </w:tc>
        <w:tc>
          <w:tcPr>
            <w:tcW w:w="3219" w:type="dxa"/>
            <w:gridSpan w:val="6"/>
            <w:tcBorders>
              <w:top w:val="single" w:color="auto" w:sz="4" w:space="0"/>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混合标准系列溶液</w:t>
            </w:r>
            <w:r>
              <w:rPr>
                <w:szCs w:val="21"/>
              </w:rPr>
              <w:t>浓度</w:t>
            </w:r>
          </w:p>
          <w:p>
            <w:pPr>
              <w:widowControl/>
              <w:jc w:val="center"/>
              <w:rPr>
                <w:color w:val="000000"/>
                <w:kern w:val="0"/>
                <w:szCs w:val="21"/>
              </w:rPr>
            </w:pPr>
            <w:r>
              <w:rPr>
                <w:color w:val="000000"/>
                <w:kern w:val="0"/>
                <w:szCs w:val="21"/>
              </w:rPr>
              <w:t>（μg/mL）</w:t>
            </w:r>
          </w:p>
        </w:tc>
      </w:tr>
      <w:tr>
        <w:tblPrEx>
          <w:tblCellMar>
            <w:top w:w="0" w:type="dxa"/>
            <w:left w:w="108" w:type="dxa"/>
            <w:bottom w:w="0" w:type="dxa"/>
            <w:right w:w="108" w:type="dxa"/>
          </w:tblCellMar>
        </w:tblPrEx>
        <w:trPr>
          <w:trHeight w:val="470" w:hRule="atLeast"/>
          <w:jc w:val="center"/>
        </w:trPr>
        <w:tc>
          <w:tcPr>
            <w:tcW w:w="652"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1</w:t>
            </w:r>
          </w:p>
        </w:tc>
        <w:tc>
          <w:tcPr>
            <w:tcW w:w="1084"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α-熊果苷</w:t>
            </w:r>
          </w:p>
        </w:tc>
        <w:tc>
          <w:tcPr>
            <w:tcW w:w="1948"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1000</w:t>
            </w:r>
          </w:p>
        </w:tc>
        <w:tc>
          <w:tcPr>
            <w:tcW w:w="1948"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100</w:t>
            </w:r>
          </w:p>
        </w:tc>
        <w:tc>
          <w:tcPr>
            <w:tcW w:w="707"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0.25</w:t>
            </w:r>
          </w:p>
        </w:tc>
        <w:tc>
          <w:tcPr>
            <w:tcW w:w="598"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0.5</w:t>
            </w:r>
          </w:p>
        </w:tc>
        <w:tc>
          <w:tcPr>
            <w:tcW w:w="490"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1</w:t>
            </w:r>
          </w:p>
        </w:tc>
        <w:tc>
          <w:tcPr>
            <w:tcW w:w="490"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2</w:t>
            </w:r>
          </w:p>
        </w:tc>
        <w:tc>
          <w:tcPr>
            <w:tcW w:w="490"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8</w:t>
            </w:r>
          </w:p>
        </w:tc>
        <w:tc>
          <w:tcPr>
            <w:tcW w:w="444"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20</w:t>
            </w:r>
          </w:p>
        </w:tc>
      </w:tr>
      <w:tr>
        <w:tblPrEx>
          <w:tblCellMar>
            <w:top w:w="0" w:type="dxa"/>
            <w:left w:w="108" w:type="dxa"/>
            <w:bottom w:w="0" w:type="dxa"/>
            <w:right w:w="108" w:type="dxa"/>
          </w:tblCellMar>
        </w:tblPrEx>
        <w:trPr>
          <w:trHeight w:val="470" w:hRule="atLeast"/>
          <w:jc w:val="center"/>
        </w:trPr>
        <w:tc>
          <w:tcPr>
            <w:tcW w:w="652"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2</w:t>
            </w:r>
          </w:p>
        </w:tc>
        <w:tc>
          <w:tcPr>
            <w:tcW w:w="1084"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熊果苷</w:t>
            </w:r>
          </w:p>
        </w:tc>
        <w:tc>
          <w:tcPr>
            <w:tcW w:w="1948"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1000</w:t>
            </w:r>
          </w:p>
        </w:tc>
        <w:tc>
          <w:tcPr>
            <w:tcW w:w="1948"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100</w:t>
            </w:r>
          </w:p>
        </w:tc>
        <w:tc>
          <w:tcPr>
            <w:tcW w:w="707"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0.25</w:t>
            </w:r>
          </w:p>
        </w:tc>
        <w:tc>
          <w:tcPr>
            <w:tcW w:w="598"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0.5</w:t>
            </w:r>
          </w:p>
        </w:tc>
        <w:tc>
          <w:tcPr>
            <w:tcW w:w="490"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1</w:t>
            </w:r>
          </w:p>
        </w:tc>
        <w:tc>
          <w:tcPr>
            <w:tcW w:w="490"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2</w:t>
            </w:r>
          </w:p>
        </w:tc>
        <w:tc>
          <w:tcPr>
            <w:tcW w:w="490"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8</w:t>
            </w:r>
          </w:p>
        </w:tc>
        <w:tc>
          <w:tcPr>
            <w:tcW w:w="444"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20</w:t>
            </w:r>
          </w:p>
        </w:tc>
      </w:tr>
      <w:tr>
        <w:tblPrEx>
          <w:tblCellMar>
            <w:top w:w="0" w:type="dxa"/>
            <w:left w:w="108" w:type="dxa"/>
            <w:bottom w:w="0" w:type="dxa"/>
            <w:right w:w="108" w:type="dxa"/>
          </w:tblCellMar>
        </w:tblPrEx>
        <w:trPr>
          <w:trHeight w:val="470" w:hRule="atLeast"/>
          <w:jc w:val="center"/>
        </w:trPr>
        <w:tc>
          <w:tcPr>
            <w:tcW w:w="652"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3</w:t>
            </w:r>
          </w:p>
        </w:tc>
        <w:tc>
          <w:tcPr>
            <w:tcW w:w="1084"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氢醌</w:t>
            </w:r>
          </w:p>
        </w:tc>
        <w:tc>
          <w:tcPr>
            <w:tcW w:w="1948"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1000</w:t>
            </w:r>
          </w:p>
        </w:tc>
        <w:tc>
          <w:tcPr>
            <w:tcW w:w="1948"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10</w:t>
            </w:r>
          </w:p>
        </w:tc>
        <w:tc>
          <w:tcPr>
            <w:tcW w:w="707"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0.025</w:t>
            </w:r>
          </w:p>
        </w:tc>
        <w:tc>
          <w:tcPr>
            <w:tcW w:w="598"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0.05</w:t>
            </w:r>
          </w:p>
        </w:tc>
        <w:tc>
          <w:tcPr>
            <w:tcW w:w="490"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0.1</w:t>
            </w:r>
          </w:p>
        </w:tc>
        <w:tc>
          <w:tcPr>
            <w:tcW w:w="490"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0.2</w:t>
            </w:r>
          </w:p>
        </w:tc>
        <w:tc>
          <w:tcPr>
            <w:tcW w:w="490"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0.8</w:t>
            </w:r>
          </w:p>
        </w:tc>
        <w:tc>
          <w:tcPr>
            <w:tcW w:w="444" w:type="dxa"/>
            <w:tcBorders>
              <w:top w:val="nil"/>
              <w:left w:val="nil"/>
              <w:bottom w:val="nil"/>
              <w:right w:val="nil"/>
            </w:tcBorders>
            <w:shd w:val="clear" w:color="auto" w:fill="auto"/>
            <w:vAlign w:val="center"/>
          </w:tcPr>
          <w:p>
            <w:pPr>
              <w:widowControl/>
              <w:jc w:val="center"/>
              <w:rPr>
                <w:color w:val="000000"/>
                <w:kern w:val="0"/>
                <w:szCs w:val="21"/>
              </w:rPr>
            </w:pPr>
            <w:r>
              <w:rPr>
                <w:color w:val="000000"/>
                <w:kern w:val="0"/>
                <w:szCs w:val="21"/>
              </w:rPr>
              <w:t>2</w:t>
            </w:r>
          </w:p>
        </w:tc>
      </w:tr>
      <w:tr>
        <w:tblPrEx>
          <w:tblCellMar>
            <w:top w:w="0" w:type="dxa"/>
            <w:left w:w="108" w:type="dxa"/>
            <w:bottom w:w="0" w:type="dxa"/>
            <w:right w:w="108" w:type="dxa"/>
          </w:tblCellMar>
        </w:tblPrEx>
        <w:trPr>
          <w:trHeight w:val="470" w:hRule="atLeast"/>
          <w:jc w:val="center"/>
        </w:trPr>
        <w:tc>
          <w:tcPr>
            <w:tcW w:w="652" w:type="dxa"/>
            <w:tcBorders>
              <w:top w:val="nil"/>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4</w:t>
            </w:r>
          </w:p>
        </w:tc>
        <w:tc>
          <w:tcPr>
            <w:tcW w:w="1084" w:type="dxa"/>
            <w:tcBorders>
              <w:top w:val="nil"/>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苯酚</w:t>
            </w:r>
          </w:p>
        </w:tc>
        <w:tc>
          <w:tcPr>
            <w:tcW w:w="1948" w:type="dxa"/>
            <w:tcBorders>
              <w:top w:val="nil"/>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1000</w:t>
            </w:r>
          </w:p>
        </w:tc>
        <w:tc>
          <w:tcPr>
            <w:tcW w:w="1948" w:type="dxa"/>
            <w:tcBorders>
              <w:top w:val="nil"/>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20</w:t>
            </w:r>
          </w:p>
        </w:tc>
        <w:tc>
          <w:tcPr>
            <w:tcW w:w="707" w:type="dxa"/>
            <w:tcBorders>
              <w:top w:val="nil"/>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0.05</w:t>
            </w:r>
          </w:p>
        </w:tc>
        <w:tc>
          <w:tcPr>
            <w:tcW w:w="598" w:type="dxa"/>
            <w:tcBorders>
              <w:top w:val="nil"/>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0.1</w:t>
            </w:r>
          </w:p>
        </w:tc>
        <w:tc>
          <w:tcPr>
            <w:tcW w:w="490" w:type="dxa"/>
            <w:tcBorders>
              <w:top w:val="nil"/>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0.2</w:t>
            </w:r>
          </w:p>
        </w:tc>
        <w:tc>
          <w:tcPr>
            <w:tcW w:w="490" w:type="dxa"/>
            <w:tcBorders>
              <w:top w:val="nil"/>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0.4</w:t>
            </w:r>
          </w:p>
        </w:tc>
        <w:tc>
          <w:tcPr>
            <w:tcW w:w="490" w:type="dxa"/>
            <w:tcBorders>
              <w:top w:val="nil"/>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1.6</w:t>
            </w:r>
          </w:p>
        </w:tc>
        <w:tc>
          <w:tcPr>
            <w:tcW w:w="444" w:type="dxa"/>
            <w:tcBorders>
              <w:top w:val="nil"/>
              <w:left w:val="nil"/>
              <w:bottom w:val="single" w:color="auto" w:sz="4" w:space="0"/>
              <w:right w:val="nil"/>
            </w:tcBorders>
            <w:shd w:val="clear" w:color="auto" w:fill="auto"/>
            <w:vAlign w:val="center"/>
          </w:tcPr>
          <w:p>
            <w:pPr>
              <w:widowControl/>
              <w:jc w:val="center"/>
              <w:rPr>
                <w:color w:val="000000"/>
                <w:kern w:val="0"/>
                <w:szCs w:val="21"/>
              </w:rPr>
            </w:pPr>
            <w:r>
              <w:rPr>
                <w:color w:val="000000"/>
                <w:kern w:val="0"/>
                <w:szCs w:val="21"/>
              </w:rPr>
              <w:t>4</w:t>
            </w:r>
          </w:p>
        </w:tc>
      </w:tr>
    </w:tbl>
    <w:p>
      <w:pPr>
        <w:autoSpaceDE w:val="0"/>
        <w:autoSpaceDN w:val="0"/>
        <w:adjustRightInd w:val="0"/>
        <w:snapToGrid w:val="0"/>
        <w:spacing w:before="120" w:beforeLines="50" w:after="120" w:afterLines="50" w:line="300" w:lineRule="auto"/>
        <w:rPr>
          <w:kern w:val="0"/>
          <w:szCs w:val="21"/>
        </w:rPr>
      </w:pPr>
      <w:r>
        <w:rPr>
          <w:kern w:val="0"/>
          <w:szCs w:val="21"/>
        </w:rPr>
        <w:t>5.3  样品处理</w:t>
      </w:r>
    </w:p>
    <w:p>
      <w:pPr>
        <w:autoSpaceDE w:val="0"/>
        <w:autoSpaceDN w:val="0"/>
        <w:adjustRightInd w:val="0"/>
        <w:snapToGrid w:val="0"/>
        <w:spacing w:before="50" w:after="50" w:line="300" w:lineRule="auto"/>
        <w:ind w:firstLine="420" w:firstLineChars="200"/>
        <w:rPr>
          <w:szCs w:val="21"/>
        </w:rPr>
      </w:pPr>
      <w:r>
        <w:rPr>
          <w:szCs w:val="21"/>
        </w:rPr>
        <w:t>称取样品1.0 g（精确至0.001 g），置10 mL具塞比色管中，加入甲醇（3.1）至</w:t>
      </w:r>
      <w:r>
        <w:rPr>
          <w:rFonts w:hint="eastAsia"/>
          <w:szCs w:val="21"/>
        </w:rPr>
        <w:t>刻度</w:t>
      </w:r>
      <w:r>
        <w:rPr>
          <w:szCs w:val="21"/>
        </w:rPr>
        <w:t>，涡旋振荡30 s，使样品与提取溶剂充分混匀。密塞，超声提取20 min，</w:t>
      </w:r>
      <w:r>
        <w:rPr>
          <w:rFonts w:hint="eastAsia"/>
          <w:szCs w:val="21"/>
        </w:rPr>
        <w:t>放</w:t>
      </w:r>
      <w:r>
        <w:rPr>
          <w:szCs w:val="21"/>
        </w:rPr>
        <w:t>置至室温，取适量样品溶液离心（转速14000 r/min）5 min，取上清液经微孔滤膜（0.45 μm）（3.2）过滤，取续滤液作为待测溶液。必要时用适量甲醇（3.1）稀释。</w:t>
      </w:r>
    </w:p>
    <w:p>
      <w:pPr>
        <w:autoSpaceDE w:val="0"/>
        <w:autoSpaceDN w:val="0"/>
        <w:adjustRightInd w:val="0"/>
        <w:snapToGrid w:val="0"/>
        <w:spacing w:before="120" w:beforeLines="50" w:after="120" w:afterLines="50" w:line="300" w:lineRule="auto"/>
        <w:rPr>
          <w:kern w:val="0"/>
          <w:szCs w:val="21"/>
        </w:rPr>
      </w:pPr>
      <w:r>
        <w:rPr>
          <w:szCs w:val="21"/>
        </w:rPr>
        <w:t>5.4  参考色谱条件</w:t>
      </w:r>
    </w:p>
    <w:p>
      <w:pPr>
        <w:autoSpaceDE w:val="0"/>
        <w:autoSpaceDN w:val="0"/>
        <w:adjustRightInd w:val="0"/>
        <w:snapToGrid w:val="0"/>
        <w:spacing w:before="50" w:after="50" w:line="300" w:lineRule="auto"/>
        <w:ind w:firstLine="420" w:firstLineChars="200"/>
        <w:rPr>
          <w:szCs w:val="21"/>
        </w:rPr>
      </w:pPr>
      <w:r>
        <w:rPr>
          <w:szCs w:val="21"/>
        </w:rPr>
        <w:t>色谱柱：C</w:t>
      </w:r>
      <w:r>
        <w:rPr>
          <w:szCs w:val="21"/>
          <w:vertAlign w:val="subscript"/>
        </w:rPr>
        <w:t>18</w:t>
      </w:r>
      <w:r>
        <w:rPr>
          <w:szCs w:val="21"/>
        </w:rPr>
        <w:t>柱（4.6 mm×250mm</w:t>
      </w:r>
      <w:r>
        <w:rPr>
          <w:rFonts w:hint="eastAsia"/>
          <w:szCs w:val="21"/>
        </w:rPr>
        <w:t>，</w:t>
      </w:r>
      <w:r>
        <w:rPr>
          <w:szCs w:val="21"/>
        </w:rPr>
        <w:t>5 μm），或等效色谱柱；</w:t>
      </w:r>
    </w:p>
    <w:p>
      <w:pPr>
        <w:autoSpaceDE w:val="0"/>
        <w:autoSpaceDN w:val="0"/>
        <w:adjustRightInd w:val="0"/>
        <w:snapToGrid w:val="0"/>
        <w:spacing w:before="50" w:after="50" w:line="300" w:lineRule="auto"/>
        <w:ind w:firstLine="420" w:firstLineChars="200"/>
        <w:rPr>
          <w:kern w:val="0"/>
          <w:szCs w:val="21"/>
        </w:rPr>
      </w:pPr>
      <w:r>
        <w:rPr>
          <w:kern w:val="0"/>
          <w:szCs w:val="21"/>
        </w:rPr>
        <w:t>流动相：A：水，B：甲醇</w:t>
      </w:r>
      <w:r>
        <w:rPr>
          <w:szCs w:val="21"/>
        </w:rPr>
        <w:t>（3.1）</w:t>
      </w:r>
      <w:r>
        <w:rPr>
          <w:kern w:val="0"/>
          <w:szCs w:val="21"/>
        </w:rPr>
        <w:t>；梯度洗脱程序详见表3；</w:t>
      </w:r>
    </w:p>
    <w:p>
      <w:pPr>
        <w:autoSpaceDE w:val="0"/>
        <w:autoSpaceDN w:val="0"/>
        <w:adjustRightInd w:val="0"/>
        <w:snapToGrid w:val="0"/>
        <w:spacing w:before="50" w:after="50" w:line="300" w:lineRule="auto"/>
        <w:ind w:firstLine="420" w:firstLineChars="200"/>
        <w:rPr>
          <w:kern w:val="0"/>
          <w:szCs w:val="21"/>
        </w:rPr>
      </w:pPr>
      <w:r>
        <w:rPr>
          <w:kern w:val="0"/>
          <w:szCs w:val="21"/>
        </w:rPr>
        <w:t xml:space="preserve">柱温：20 </w:t>
      </w:r>
      <w:r>
        <w:rPr>
          <w:rFonts w:hint="eastAsia" w:ascii="宋体" w:hAnsi="宋体" w:cs="宋体"/>
          <w:kern w:val="0"/>
          <w:szCs w:val="21"/>
        </w:rPr>
        <w:t>℃</w:t>
      </w:r>
      <w:r>
        <w:rPr>
          <w:kern w:val="0"/>
          <w:szCs w:val="21"/>
        </w:rPr>
        <w:t>；</w:t>
      </w:r>
    </w:p>
    <w:p>
      <w:pPr>
        <w:autoSpaceDE w:val="0"/>
        <w:autoSpaceDN w:val="0"/>
        <w:adjustRightInd w:val="0"/>
        <w:snapToGrid w:val="0"/>
        <w:spacing w:before="50" w:after="50" w:line="300" w:lineRule="auto"/>
        <w:ind w:firstLine="420" w:firstLineChars="200"/>
        <w:rPr>
          <w:kern w:val="0"/>
          <w:szCs w:val="21"/>
        </w:rPr>
      </w:pPr>
      <w:r>
        <w:rPr>
          <w:kern w:val="0"/>
          <w:szCs w:val="21"/>
        </w:rPr>
        <w:t xml:space="preserve">流速：0.5 </w:t>
      </w:r>
      <w:r>
        <w:rPr>
          <w:szCs w:val="21"/>
        </w:rPr>
        <w:t>mL/min；</w:t>
      </w:r>
    </w:p>
    <w:p>
      <w:pPr>
        <w:autoSpaceDE w:val="0"/>
        <w:autoSpaceDN w:val="0"/>
        <w:adjustRightInd w:val="0"/>
        <w:snapToGrid w:val="0"/>
        <w:spacing w:before="50" w:after="50" w:line="300" w:lineRule="auto"/>
        <w:ind w:firstLine="420" w:firstLineChars="200"/>
        <w:rPr>
          <w:kern w:val="0"/>
          <w:szCs w:val="21"/>
        </w:rPr>
      </w:pPr>
      <w:r>
        <w:rPr>
          <w:kern w:val="0"/>
          <w:szCs w:val="21"/>
        </w:rPr>
        <w:t>进样量：5 μL；</w:t>
      </w:r>
    </w:p>
    <w:p>
      <w:pPr>
        <w:autoSpaceDE w:val="0"/>
        <w:autoSpaceDN w:val="0"/>
        <w:adjustRightInd w:val="0"/>
        <w:snapToGrid w:val="0"/>
        <w:spacing w:before="50" w:after="50" w:line="300" w:lineRule="auto"/>
        <w:ind w:firstLine="420" w:firstLineChars="200"/>
        <w:rPr>
          <w:kern w:val="0"/>
          <w:szCs w:val="21"/>
        </w:rPr>
      </w:pPr>
      <w:r>
        <w:rPr>
          <w:kern w:val="0"/>
          <w:szCs w:val="21"/>
        </w:rPr>
        <w:t>检测波长详见表4。</w:t>
      </w:r>
    </w:p>
    <w:p>
      <w:pPr>
        <w:autoSpaceDE w:val="0"/>
        <w:autoSpaceDN w:val="0"/>
        <w:adjustRightInd w:val="0"/>
        <w:snapToGrid w:val="0"/>
        <w:spacing w:before="120" w:beforeLines="50" w:after="120" w:afterLines="50" w:line="300" w:lineRule="auto"/>
        <w:jc w:val="center"/>
        <w:rPr>
          <w:rFonts w:eastAsia="黑体"/>
          <w:kern w:val="0"/>
          <w:szCs w:val="21"/>
        </w:rPr>
      </w:pPr>
      <w:r>
        <w:rPr>
          <w:rFonts w:eastAsia="黑体"/>
          <w:kern w:val="0"/>
          <w:szCs w:val="21"/>
        </w:rPr>
        <w:t>表</w:t>
      </w:r>
      <w:r>
        <w:rPr>
          <w:rFonts w:eastAsia="黑体"/>
          <w:bCs/>
          <w:kern w:val="0"/>
          <w:szCs w:val="21"/>
        </w:rPr>
        <w:t xml:space="preserve">3  </w:t>
      </w:r>
      <w:r>
        <w:rPr>
          <w:rFonts w:eastAsia="黑体"/>
          <w:kern w:val="0"/>
          <w:szCs w:val="21"/>
        </w:rPr>
        <w:t>流动相梯度洗脱程序</w:t>
      </w:r>
    </w:p>
    <w:tbl>
      <w:tblPr>
        <w:tblStyle w:val="7"/>
        <w:tblW w:w="8856"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6"/>
        <w:gridCol w:w="3040"/>
        <w:gridCol w:w="3040"/>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时间/min</w:t>
            </w:r>
          </w:p>
        </w:tc>
        <w:tc>
          <w:tcPr>
            <w:tcW w:w="3040"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V（A）/%</w:t>
            </w:r>
          </w:p>
        </w:tc>
        <w:tc>
          <w:tcPr>
            <w:tcW w:w="3040"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V（B）/%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0.0</w:t>
            </w:r>
          </w:p>
        </w:tc>
        <w:tc>
          <w:tcPr>
            <w:tcW w:w="3040"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95</w:t>
            </w:r>
          </w:p>
        </w:tc>
        <w:tc>
          <w:tcPr>
            <w:tcW w:w="3040"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21.0</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95</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PrEx>
        <w:trPr>
          <w:jc w:val="center"/>
        </w:trPr>
        <w:tc>
          <w:tcPr>
            <w:tcW w:w="2776"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22.0</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55</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45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tcBorders>
            <w:vAlign w:val="center"/>
          </w:tcPr>
          <w:p>
            <w:pPr>
              <w:autoSpaceDE w:val="0"/>
              <w:autoSpaceDN w:val="0"/>
              <w:adjustRightInd w:val="0"/>
              <w:spacing w:line="300" w:lineRule="auto"/>
              <w:jc w:val="center"/>
              <w:rPr>
                <w:kern w:val="0"/>
                <w:szCs w:val="21"/>
              </w:rPr>
            </w:pPr>
            <w:r>
              <w:rPr>
                <w:kern w:val="0"/>
                <w:szCs w:val="21"/>
              </w:rPr>
              <w:t>43.0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50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50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tcBorders>
            <w:vAlign w:val="center"/>
          </w:tcPr>
          <w:p>
            <w:pPr>
              <w:autoSpaceDE w:val="0"/>
              <w:autoSpaceDN w:val="0"/>
              <w:adjustRightInd w:val="0"/>
              <w:spacing w:line="300" w:lineRule="auto"/>
              <w:jc w:val="center"/>
              <w:rPr>
                <w:kern w:val="0"/>
                <w:szCs w:val="21"/>
              </w:rPr>
            </w:pPr>
            <w:r>
              <w:rPr>
                <w:kern w:val="0"/>
                <w:szCs w:val="21"/>
              </w:rPr>
              <w:t>48.0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50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50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tcBorders>
            <w:vAlign w:val="center"/>
          </w:tcPr>
          <w:p>
            <w:pPr>
              <w:autoSpaceDE w:val="0"/>
              <w:autoSpaceDN w:val="0"/>
              <w:adjustRightInd w:val="0"/>
              <w:spacing w:line="300" w:lineRule="auto"/>
              <w:jc w:val="center"/>
              <w:rPr>
                <w:kern w:val="0"/>
                <w:szCs w:val="21"/>
              </w:rPr>
            </w:pPr>
            <w:r>
              <w:rPr>
                <w:kern w:val="0"/>
                <w:szCs w:val="21"/>
              </w:rPr>
              <w:t>48.1</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100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PrEx>
        <w:trPr>
          <w:jc w:val="center"/>
        </w:trPr>
        <w:tc>
          <w:tcPr>
            <w:tcW w:w="2776"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50.0</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0</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100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50.1</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95</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bottom w:val="single" w:color="000000" w:sz="4" w:space="0"/>
            </w:tcBorders>
            <w:vAlign w:val="center"/>
          </w:tcPr>
          <w:p>
            <w:pPr>
              <w:autoSpaceDE w:val="0"/>
              <w:autoSpaceDN w:val="0"/>
              <w:adjustRightInd w:val="0"/>
              <w:spacing w:line="300" w:lineRule="auto"/>
              <w:jc w:val="center"/>
              <w:rPr>
                <w:kern w:val="0"/>
                <w:szCs w:val="21"/>
              </w:rPr>
            </w:pPr>
            <w:r>
              <w:rPr>
                <w:kern w:val="0"/>
                <w:szCs w:val="21"/>
              </w:rPr>
              <w:t>60.0</w:t>
            </w:r>
          </w:p>
        </w:tc>
        <w:tc>
          <w:tcPr>
            <w:tcW w:w="3040" w:type="dxa"/>
            <w:tcBorders>
              <w:top w:val="nil"/>
              <w:bottom w:val="single" w:color="000000" w:sz="4" w:space="0"/>
            </w:tcBorders>
            <w:vAlign w:val="center"/>
          </w:tcPr>
          <w:p>
            <w:pPr>
              <w:autoSpaceDE w:val="0"/>
              <w:autoSpaceDN w:val="0"/>
              <w:adjustRightInd w:val="0"/>
              <w:spacing w:line="300" w:lineRule="auto"/>
              <w:jc w:val="center"/>
              <w:rPr>
                <w:kern w:val="0"/>
                <w:szCs w:val="21"/>
              </w:rPr>
            </w:pPr>
            <w:r>
              <w:rPr>
                <w:kern w:val="0"/>
                <w:szCs w:val="21"/>
              </w:rPr>
              <w:t>95</w:t>
            </w:r>
          </w:p>
        </w:tc>
        <w:tc>
          <w:tcPr>
            <w:tcW w:w="3040" w:type="dxa"/>
            <w:tcBorders>
              <w:top w:val="nil"/>
              <w:bottom w:val="single" w:color="000000" w:sz="4" w:space="0"/>
            </w:tcBorders>
            <w:vAlign w:val="center"/>
          </w:tcPr>
          <w:p>
            <w:pPr>
              <w:autoSpaceDE w:val="0"/>
              <w:autoSpaceDN w:val="0"/>
              <w:adjustRightInd w:val="0"/>
              <w:spacing w:line="300" w:lineRule="auto"/>
              <w:jc w:val="center"/>
              <w:rPr>
                <w:kern w:val="0"/>
                <w:szCs w:val="21"/>
              </w:rPr>
            </w:pPr>
            <w:r>
              <w:rPr>
                <w:kern w:val="0"/>
                <w:szCs w:val="21"/>
              </w:rPr>
              <w:t>5</w:t>
            </w:r>
          </w:p>
        </w:tc>
      </w:tr>
    </w:tbl>
    <w:p>
      <w:pPr>
        <w:autoSpaceDE w:val="0"/>
        <w:autoSpaceDN w:val="0"/>
        <w:adjustRightInd w:val="0"/>
        <w:snapToGrid w:val="0"/>
        <w:spacing w:before="120" w:beforeLines="50" w:after="120" w:afterLines="50" w:line="300" w:lineRule="auto"/>
        <w:jc w:val="center"/>
        <w:rPr>
          <w:rFonts w:eastAsia="黑体"/>
          <w:kern w:val="0"/>
          <w:szCs w:val="21"/>
        </w:rPr>
      </w:pPr>
      <w:r>
        <w:rPr>
          <w:rFonts w:eastAsia="黑体"/>
          <w:kern w:val="0"/>
          <w:szCs w:val="21"/>
        </w:rPr>
        <w:t xml:space="preserve">表4   </w:t>
      </w:r>
      <w:r>
        <w:rPr>
          <w:rFonts w:eastAsia="黑体"/>
          <w:szCs w:val="21"/>
        </w:rPr>
        <w:t>α-熊果苷、熊果苷、氢醌和苯酚</w:t>
      </w:r>
      <w:r>
        <w:rPr>
          <w:rFonts w:eastAsia="黑体"/>
          <w:kern w:val="0"/>
          <w:szCs w:val="21"/>
        </w:rPr>
        <w:t>的检测波长</w:t>
      </w:r>
    </w:p>
    <w:tbl>
      <w:tblPr>
        <w:tblStyle w:val="7"/>
        <w:tblW w:w="8854"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3"/>
        <w:gridCol w:w="2077"/>
        <w:gridCol w:w="2846"/>
        <w:gridCol w:w="2908"/>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023"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序号</w:t>
            </w:r>
          </w:p>
        </w:tc>
        <w:tc>
          <w:tcPr>
            <w:tcW w:w="2077"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原料名称</w:t>
            </w:r>
          </w:p>
        </w:tc>
        <w:tc>
          <w:tcPr>
            <w:tcW w:w="2846"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激发波长（nm）</w:t>
            </w:r>
          </w:p>
        </w:tc>
        <w:tc>
          <w:tcPr>
            <w:tcW w:w="2908"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发射波长（nm）</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023" w:type="dxa"/>
            <w:tcBorders>
              <w:top w:val="single" w:color="000000" w:sz="4" w:space="0"/>
              <w:bottom w:val="nil"/>
            </w:tcBorders>
            <w:vAlign w:val="center"/>
          </w:tcPr>
          <w:p>
            <w:pPr>
              <w:autoSpaceDE w:val="0"/>
              <w:autoSpaceDN w:val="0"/>
              <w:adjustRightInd w:val="0"/>
              <w:spacing w:line="300" w:lineRule="auto"/>
              <w:jc w:val="center"/>
              <w:rPr>
                <w:szCs w:val="21"/>
              </w:rPr>
            </w:pPr>
            <w:r>
              <w:rPr>
                <w:szCs w:val="21"/>
              </w:rPr>
              <w:t>1</w:t>
            </w:r>
          </w:p>
        </w:tc>
        <w:tc>
          <w:tcPr>
            <w:tcW w:w="2077" w:type="dxa"/>
            <w:tcBorders>
              <w:top w:val="single" w:color="000000" w:sz="4" w:space="0"/>
              <w:bottom w:val="nil"/>
            </w:tcBorders>
            <w:vAlign w:val="center"/>
          </w:tcPr>
          <w:p>
            <w:pPr>
              <w:autoSpaceDE w:val="0"/>
              <w:autoSpaceDN w:val="0"/>
              <w:adjustRightInd w:val="0"/>
              <w:spacing w:line="300" w:lineRule="auto"/>
              <w:jc w:val="center"/>
              <w:rPr>
                <w:kern w:val="0"/>
                <w:szCs w:val="21"/>
              </w:rPr>
            </w:pPr>
            <w:r>
              <w:rPr>
                <w:szCs w:val="21"/>
              </w:rPr>
              <w:t>α-熊果苷</w:t>
            </w:r>
          </w:p>
        </w:tc>
        <w:tc>
          <w:tcPr>
            <w:tcW w:w="2846"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292</w:t>
            </w:r>
          </w:p>
        </w:tc>
        <w:tc>
          <w:tcPr>
            <w:tcW w:w="2908"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337</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023" w:type="dxa"/>
            <w:tcBorders>
              <w:top w:val="nil"/>
              <w:bottom w:val="nil"/>
            </w:tcBorders>
            <w:vAlign w:val="center"/>
          </w:tcPr>
          <w:p>
            <w:pPr>
              <w:autoSpaceDE w:val="0"/>
              <w:autoSpaceDN w:val="0"/>
              <w:adjustRightInd w:val="0"/>
              <w:spacing w:line="300" w:lineRule="auto"/>
              <w:jc w:val="center"/>
              <w:rPr>
                <w:szCs w:val="21"/>
              </w:rPr>
            </w:pPr>
            <w:r>
              <w:rPr>
                <w:szCs w:val="21"/>
              </w:rPr>
              <w:t>2</w:t>
            </w:r>
          </w:p>
        </w:tc>
        <w:tc>
          <w:tcPr>
            <w:tcW w:w="2077" w:type="dxa"/>
            <w:tcBorders>
              <w:top w:val="nil"/>
              <w:bottom w:val="nil"/>
            </w:tcBorders>
            <w:vAlign w:val="center"/>
          </w:tcPr>
          <w:p>
            <w:pPr>
              <w:autoSpaceDE w:val="0"/>
              <w:autoSpaceDN w:val="0"/>
              <w:adjustRightInd w:val="0"/>
              <w:spacing w:line="300" w:lineRule="auto"/>
              <w:jc w:val="center"/>
              <w:rPr>
                <w:kern w:val="0"/>
                <w:szCs w:val="21"/>
              </w:rPr>
            </w:pPr>
            <w:r>
              <w:rPr>
                <w:szCs w:val="21"/>
              </w:rPr>
              <w:t>熊果苷</w:t>
            </w:r>
          </w:p>
        </w:tc>
        <w:tc>
          <w:tcPr>
            <w:tcW w:w="2846"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292</w:t>
            </w:r>
          </w:p>
        </w:tc>
        <w:tc>
          <w:tcPr>
            <w:tcW w:w="2908"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337</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023" w:type="dxa"/>
            <w:tcBorders>
              <w:top w:val="nil"/>
            </w:tcBorders>
            <w:vAlign w:val="center"/>
          </w:tcPr>
          <w:p>
            <w:pPr>
              <w:autoSpaceDE w:val="0"/>
              <w:autoSpaceDN w:val="0"/>
              <w:adjustRightInd w:val="0"/>
              <w:spacing w:line="300" w:lineRule="auto"/>
              <w:jc w:val="center"/>
              <w:rPr>
                <w:szCs w:val="21"/>
              </w:rPr>
            </w:pPr>
            <w:r>
              <w:rPr>
                <w:szCs w:val="21"/>
              </w:rPr>
              <w:t>3</w:t>
            </w:r>
          </w:p>
        </w:tc>
        <w:tc>
          <w:tcPr>
            <w:tcW w:w="2077" w:type="dxa"/>
            <w:tcBorders>
              <w:top w:val="nil"/>
            </w:tcBorders>
            <w:vAlign w:val="center"/>
          </w:tcPr>
          <w:p>
            <w:pPr>
              <w:autoSpaceDE w:val="0"/>
              <w:autoSpaceDN w:val="0"/>
              <w:adjustRightInd w:val="0"/>
              <w:spacing w:line="300" w:lineRule="auto"/>
              <w:jc w:val="center"/>
              <w:rPr>
                <w:kern w:val="0"/>
                <w:szCs w:val="21"/>
              </w:rPr>
            </w:pPr>
            <w:r>
              <w:rPr>
                <w:szCs w:val="21"/>
              </w:rPr>
              <w:t>氢醌</w:t>
            </w:r>
          </w:p>
        </w:tc>
        <w:tc>
          <w:tcPr>
            <w:tcW w:w="2846" w:type="dxa"/>
            <w:tcBorders>
              <w:top w:val="nil"/>
            </w:tcBorders>
            <w:vAlign w:val="center"/>
          </w:tcPr>
          <w:p>
            <w:pPr>
              <w:autoSpaceDE w:val="0"/>
              <w:autoSpaceDN w:val="0"/>
              <w:adjustRightInd w:val="0"/>
              <w:spacing w:line="300" w:lineRule="auto"/>
              <w:jc w:val="center"/>
              <w:rPr>
                <w:kern w:val="0"/>
                <w:szCs w:val="21"/>
              </w:rPr>
            </w:pPr>
            <w:r>
              <w:rPr>
                <w:kern w:val="0"/>
                <w:szCs w:val="21"/>
              </w:rPr>
              <w:t>298</w:t>
            </w:r>
          </w:p>
        </w:tc>
        <w:tc>
          <w:tcPr>
            <w:tcW w:w="2908" w:type="dxa"/>
            <w:tcBorders>
              <w:top w:val="nil"/>
            </w:tcBorders>
            <w:vAlign w:val="center"/>
          </w:tcPr>
          <w:p>
            <w:pPr>
              <w:autoSpaceDE w:val="0"/>
              <w:autoSpaceDN w:val="0"/>
              <w:adjustRightInd w:val="0"/>
              <w:spacing w:line="300" w:lineRule="auto"/>
              <w:jc w:val="center"/>
              <w:rPr>
                <w:kern w:val="0"/>
                <w:szCs w:val="21"/>
              </w:rPr>
            </w:pPr>
            <w:r>
              <w:rPr>
                <w:kern w:val="0"/>
                <w:szCs w:val="21"/>
              </w:rPr>
              <w:t>345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023" w:type="dxa"/>
            <w:tcBorders>
              <w:bottom w:val="single" w:color="000000" w:sz="4" w:space="0"/>
            </w:tcBorders>
            <w:vAlign w:val="center"/>
          </w:tcPr>
          <w:p>
            <w:pPr>
              <w:autoSpaceDE w:val="0"/>
              <w:autoSpaceDN w:val="0"/>
              <w:adjustRightInd w:val="0"/>
              <w:spacing w:line="300" w:lineRule="auto"/>
              <w:jc w:val="center"/>
              <w:rPr>
                <w:szCs w:val="21"/>
              </w:rPr>
            </w:pPr>
            <w:r>
              <w:rPr>
                <w:szCs w:val="21"/>
              </w:rPr>
              <w:t>4</w:t>
            </w:r>
          </w:p>
        </w:tc>
        <w:tc>
          <w:tcPr>
            <w:tcW w:w="2077" w:type="dxa"/>
            <w:tcBorders>
              <w:bottom w:val="single" w:color="000000" w:sz="4" w:space="0"/>
            </w:tcBorders>
            <w:vAlign w:val="center"/>
          </w:tcPr>
          <w:p>
            <w:pPr>
              <w:autoSpaceDE w:val="0"/>
              <w:autoSpaceDN w:val="0"/>
              <w:adjustRightInd w:val="0"/>
              <w:spacing w:line="300" w:lineRule="auto"/>
              <w:jc w:val="center"/>
              <w:rPr>
                <w:kern w:val="0"/>
                <w:szCs w:val="21"/>
              </w:rPr>
            </w:pPr>
            <w:r>
              <w:rPr>
                <w:szCs w:val="21"/>
              </w:rPr>
              <w:t>苯酚</w:t>
            </w:r>
          </w:p>
        </w:tc>
        <w:tc>
          <w:tcPr>
            <w:tcW w:w="2846" w:type="dxa"/>
            <w:tcBorders>
              <w:bottom w:val="single" w:color="000000" w:sz="4" w:space="0"/>
            </w:tcBorders>
            <w:vAlign w:val="center"/>
          </w:tcPr>
          <w:p>
            <w:pPr>
              <w:autoSpaceDE w:val="0"/>
              <w:autoSpaceDN w:val="0"/>
              <w:adjustRightInd w:val="0"/>
              <w:spacing w:line="300" w:lineRule="auto"/>
              <w:jc w:val="center"/>
              <w:rPr>
                <w:kern w:val="0"/>
                <w:szCs w:val="21"/>
              </w:rPr>
            </w:pPr>
            <w:r>
              <w:rPr>
                <w:kern w:val="0"/>
                <w:szCs w:val="21"/>
              </w:rPr>
              <w:t>280</w:t>
            </w:r>
          </w:p>
        </w:tc>
        <w:tc>
          <w:tcPr>
            <w:tcW w:w="2908" w:type="dxa"/>
            <w:tcBorders>
              <w:bottom w:val="single" w:color="000000" w:sz="4" w:space="0"/>
            </w:tcBorders>
            <w:vAlign w:val="center"/>
          </w:tcPr>
          <w:p>
            <w:pPr>
              <w:autoSpaceDE w:val="0"/>
              <w:autoSpaceDN w:val="0"/>
              <w:adjustRightInd w:val="0"/>
              <w:spacing w:line="300" w:lineRule="auto"/>
              <w:jc w:val="center"/>
              <w:rPr>
                <w:kern w:val="0"/>
                <w:szCs w:val="21"/>
              </w:rPr>
            </w:pPr>
            <w:r>
              <w:rPr>
                <w:kern w:val="0"/>
                <w:szCs w:val="21"/>
              </w:rPr>
              <w:t>318</w:t>
            </w:r>
          </w:p>
        </w:tc>
      </w:tr>
    </w:tbl>
    <w:p>
      <w:pPr>
        <w:autoSpaceDE w:val="0"/>
        <w:autoSpaceDN w:val="0"/>
        <w:adjustRightInd w:val="0"/>
        <w:snapToGrid w:val="0"/>
        <w:spacing w:before="120" w:beforeLines="50" w:after="120" w:afterLines="50" w:line="300" w:lineRule="auto"/>
        <w:rPr>
          <w:kern w:val="0"/>
          <w:szCs w:val="21"/>
        </w:rPr>
      </w:pPr>
      <w:r>
        <w:rPr>
          <w:kern w:val="0"/>
          <w:szCs w:val="21"/>
        </w:rPr>
        <w:t>5.5  测定</w: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在</w:t>
      </w:r>
      <w:r>
        <w:rPr>
          <w:rFonts w:hint="eastAsia"/>
          <w:kern w:val="0"/>
          <w:szCs w:val="21"/>
        </w:rPr>
        <w:t>“</w:t>
      </w:r>
      <w:r>
        <w:rPr>
          <w:kern w:val="0"/>
          <w:szCs w:val="21"/>
        </w:rPr>
        <w:t>5.4</w:t>
      </w:r>
      <w:r>
        <w:rPr>
          <w:rFonts w:hint="eastAsia"/>
          <w:kern w:val="0"/>
          <w:szCs w:val="21"/>
        </w:rPr>
        <w:t>”</w:t>
      </w:r>
      <w:r>
        <w:rPr>
          <w:kern w:val="0"/>
          <w:szCs w:val="21"/>
        </w:rPr>
        <w:t>色谱条件下，取混合标准系列溶液（5.2）分别进样，进行色谱分析，以标准系列溶液浓度为横坐标，峰面积为纵坐标，绘制标准曲线。</w: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取</w:t>
      </w:r>
      <w:r>
        <w:rPr>
          <w:rFonts w:hint="eastAsia"/>
          <w:kern w:val="0"/>
          <w:szCs w:val="21"/>
        </w:rPr>
        <w:t>“</w:t>
      </w:r>
      <w:r>
        <w:rPr>
          <w:kern w:val="0"/>
          <w:szCs w:val="21"/>
        </w:rPr>
        <w:t>5.3</w:t>
      </w:r>
      <w:r>
        <w:rPr>
          <w:rFonts w:hint="eastAsia"/>
          <w:kern w:val="0"/>
          <w:szCs w:val="21"/>
        </w:rPr>
        <w:t>”</w:t>
      </w:r>
      <w:r>
        <w:rPr>
          <w:kern w:val="0"/>
          <w:szCs w:val="21"/>
        </w:rPr>
        <w:t>项下的待测溶液进样，根据保留时间定性，测得峰面积，根据标准曲线得到待测溶液中</w:t>
      </w:r>
      <w:r>
        <w:rPr>
          <w:szCs w:val="21"/>
        </w:rPr>
        <w:t>α-熊果苷、熊果苷、氢醌和苯酚</w:t>
      </w:r>
      <w:r>
        <w:rPr>
          <w:kern w:val="0"/>
          <w:szCs w:val="21"/>
        </w:rPr>
        <w:t>的浓度。按</w:t>
      </w:r>
      <w:r>
        <w:rPr>
          <w:rFonts w:hint="eastAsia"/>
          <w:kern w:val="0"/>
          <w:szCs w:val="21"/>
        </w:rPr>
        <w:t>“</w:t>
      </w:r>
      <w:r>
        <w:rPr>
          <w:kern w:val="0"/>
          <w:szCs w:val="21"/>
        </w:rPr>
        <w:t>6</w:t>
      </w:r>
      <w:r>
        <w:rPr>
          <w:rFonts w:hint="eastAsia"/>
          <w:kern w:val="0"/>
          <w:szCs w:val="21"/>
        </w:rPr>
        <w:t>”</w:t>
      </w:r>
      <w:r>
        <w:rPr>
          <w:kern w:val="0"/>
          <w:szCs w:val="21"/>
        </w:rPr>
        <w:t>计算样品中</w:t>
      </w:r>
      <w:r>
        <w:rPr>
          <w:szCs w:val="21"/>
        </w:rPr>
        <w:t>α-熊果苷、熊果苷、氢醌和苯酚</w:t>
      </w:r>
      <w:r>
        <w:rPr>
          <w:kern w:val="0"/>
          <w:szCs w:val="21"/>
        </w:rPr>
        <w:t>的含量。必要时按附录B方法进行定性确证。</w:t>
      </w:r>
    </w:p>
    <w:p>
      <w:pPr>
        <w:autoSpaceDE w:val="0"/>
        <w:autoSpaceDN w:val="0"/>
        <w:adjustRightInd w:val="0"/>
        <w:snapToGrid w:val="0"/>
        <w:spacing w:before="120" w:beforeLines="50" w:after="120" w:afterLines="50" w:line="300" w:lineRule="auto"/>
        <w:rPr>
          <w:rFonts w:eastAsia="黑体"/>
          <w:kern w:val="0"/>
          <w:szCs w:val="21"/>
        </w:rPr>
      </w:pPr>
      <w:r>
        <w:rPr>
          <w:rFonts w:eastAsia="黑体"/>
          <w:bCs/>
          <w:kern w:val="0"/>
          <w:szCs w:val="21"/>
        </w:rPr>
        <w:t xml:space="preserve">6 </w:t>
      </w:r>
      <w:r>
        <w:rPr>
          <w:rFonts w:hint="eastAsia" w:eastAsia="黑体"/>
          <w:bCs/>
          <w:kern w:val="0"/>
          <w:szCs w:val="21"/>
        </w:rPr>
        <w:t xml:space="preserve"> </w:t>
      </w:r>
      <w:r>
        <w:rPr>
          <w:rFonts w:eastAsia="黑体"/>
          <w:bCs/>
          <w:kern w:val="0"/>
          <w:szCs w:val="21"/>
        </w:rPr>
        <w:t xml:space="preserve"> </w:t>
      </w:r>
      <w:r>
        <w:rPr>
          <w:rFonts w:eastAsia="黑体"/>
          <w:kern w:val="0"/>
          <w:szCs w:val="21"/>
        </w:rPr>
        <w:t>分析结果的表述</w:t>
      </w:r>
    </w:p>
    <w:p>
      <w:pPr>
        <w:autoSpaceDE w:val="0"/>
        <w:autoSpaceDN w:val="0"/>
        <w:adjustRightInd w:val="0"/>
        <w:snapToGrid w:val="0"/>
        <w:spacing w:before="120" w:beforeLines="50" w:after="120" w:afterLines="50" w:line="300" w:lineRule="auto"/>
        <w:rPr>
          <w:kern w:val="0"/>
          <w:szCs w:val="21"/>
        </w:rPr>
      </w:pPr>
      <w:r>
        <w:rPr>
          <w:kern w:val="0"/>
          <w:szCs w:val="21"/>
        </w:rPr>
        <w:t>6.1  计算</w:t>
      </w:r>
    </w:p>
    <w:p>
      <w:pPr>
        <w:autoSpaceDE w:val="0"/>
        <w:autoSpaceDN w:val="0"/>
        <w:adjustRightInd w:val="0"/>
        <w:spacing w:line="300" w:lineRule="auto"/>
        <w:jc w:val="center"/>
        <w:rPr>
          <w:kern w:val="0"/>
          <w:szCs w:val="21"/>
        </w:rPr>
      </w:pPr>
      <w:r>
        <w:rPr>
          <w:i/>
          <w:kern w:val="0"/>
          <w:position w:val="-24"/>
          <w:szCs w:val="21"/>
        </w:rPr>
        <w:object>
          <v:shape id="_x0000_i1025" o:spt="75" type="#_x0000_t75" style="height:30.75pt;width:72.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式中：</w:t>
      </w:r>
      <w:r>
        <w:rPr>
          <w:iCs/>
          <w:kern w:val="0"/>
          <w:szCs w:val="21"/>
        </w:rPr>
        <w:t>ω</w:t>
      </w:r>
      <w:r>
        <w:rPr>
          <w:szCs w:val="21"/>
        </w:rPr>
        <w:t>——</w:t>
      </w:r>
      <w:r>
        <w:rPr>
          <w:kern w:val="0"/>
          <w:szCs w:val="21"/>
        </w:rPr>
        <w:t>样品中待测原料的含量，μg/g；</w:t>
      </w:r>
    </w:p>
    <w:p>
      <w:pPr>
        <w:autoSpaceDE w:val="0"/>
        <w:autoSpaceDN w:val="0"/>
        <w:adjustRightInd w:val="0"/>
        <w:snapToGrid w:val="0"/>
        <w:spacing w:before="120" w:beforeLines="50" w:after="120" w:afterLines="50" w:line="300" w:lineRule="auto"/>
        <w:ind w:left="840" w:leftChars="400" w:firstLine="210" w:firstLineChars="100"/>
        <w:rPr>
          <w:kern w:val="0"/>
          <w:szCs w:val="21"/>
        </w:rPr>
      </w:pPr>
      <w:r>
        <w:rPr>
          <w:i/>
          <w:iCs/>
          <w:kern w:val="0"/>
          <w:szCs w:val="21"/>
        </w:rPr>
        <w:t>ρ</w:t>
      </w:r>
      <w:r>
        <w:rPr>
          <w:szCs w:val="21"/>
        </w:rPr>
        <w:t>——</w:t>
      </w:r>
      <w:r>
        <w:rPr>
          <w:kern w:val="0"/>
          <w:szCs w:val="21"/>
        </w:rPr>
        <w:t>从标准曲线得到待测原料的浓度，μg/mL；</w:t>
      </w:r>
    </w:p>
    <w:p>
      <w:pPr>
        <w:autoSpaceDE w:val="0"/>
        <w:autoSpaceDN w:val="0"/>
        <w:adjustRightInd w:val="0"/>
        <w:snapToGrid w:val="0"/>
        <w:spacing w:before="120" w:beforeLines="50" w:after="120" w:afterLines="50" w:line="300" w:lineRule="auto"/>
        <w:ind w:left="840" w:leftChars="400" w:firstLine="210" w:firstLineChars="100"/>
        <w:rPr>
          <w:kern w:val="0"/>
          <w:szCs w:val="21"/>
        </w:rPr>
      </w:pPr>
      <w:r>
        <w:rPr>
          <w:i/>
          <w:iCs/>
          <w:kern w:val="0"/>
          <w:szCs w:val="21"/>
        </w:rPr>
        <w:t>V</w:t>
      </w:r>
      <w:r>
        <w:rPr>
          <w:szCs w:val="21"/>
        </w:rPr>
        <w:t>——</w:t>
      </w:r>
      <w:r>
        <w:rPr>
          <w:kern w:val="0"/>
          <w:szCs w:val="21"/>
        </w:rPr>
        <w:t>样品定容体积，mL；</w:t>
      </w:r>
    </w:p>
    <w:p>
      <w:pPr>
        <w:autoSpaceDE w:val="0"/>
        <w:autoSpaceDN w:val="0"/>
        <w:adjustRightInd w:val="0"/>
        <w:snapToGrid w:val="0"/>
        <w:spacing w:before="120" w:beforeLines="50" w:after="120" w:afterLines="50" w:line="300" w:lineRule="auto"/>
        <w:ind w:left="840" w:leftChars="400" w:firstLine="210" w:firstLineChars="100"/>
        <w:rPr>
          <w:kern w:val="0"/>
          <w:szCs w:val="21"/>
        </w:rPr>
      </w:pPr>
      <w:r>
        <w:rPr>
          <w:i/>
          <w:iCs/>
          <w:kern w:val="0"/>
          <w:szCs w:val="21"/>
        </w:rPr>
        <w:t>m</w:t>
      </w:r>
      <w:r>
        <w:rPr>
          <w:szCs w:val="21"/>
        </w:rPr>
        <w:t>——</w:t>
      </w:r>
      <w:r>
        <w:rPr>
          <w:kern w:val="0"/>
          <w:szCs w:val="21"/>
        </w:rPr>
        <w:t>样品取样量，g；</w:t>
      </w:r>
    </w:p>
    <w:p>
      <w:pPr>
        <w:autoSpaceDE w:val="0"/>
        <w:autoSpaceDN w:val="0"/>
        <w:adjustRightInd w:val="0"/>
        <w:snapToGrid w:val="0"/>
        <w:spacing w:before="120" w:beforeLines="50" w:after="120" w:afterLines="50" w:line="300" w:lineRule="auto"/>
        <w:ind w:left="840" w:leftChars="400" w:firstLine="210" w:firstLineChars="100"/>
        <w:rPr>
          <w:kern w:val="0"/>
          <w:szCs w:val="21"/>
        </w:rPr>
      </w:pPr>
      <w:r>
        <w:rPr>
          <w:i/>
          <w:iCs/>
          <w:kern w:val="0"/>
          <w:szCs w:val="21"/>
        </w:rPr>
        <w:t>D</w:t>
      </w:r>
      <w:r>
        <w:rPr>
          <w:iCs/>
          <w:kern w:val="0"/>
          <w:szCs w:val="21"/>
        </w:rPr>
        <w:t>——</w:t>
      </w:r>
      <w:r>
        <w:rPr>
          <w:kern w:val="0"/>
          <w:szCs w:val="21"/>
        </w:rPr>
        <w:t>稀释倍数（如未稀释则为1）。</w: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在重复性条件下获得的两次独立测试结果的绝对差值不得超过算术平均值的10%。</w:t>
      </w:r>
    </w:p>
    <w:p>
      <w:pPr>
        <w:autoSpaceDE w:val="0"/>
        <w:autoSpaceDN w:val="0"/>
        <w:adjustRightInd w:val="0"/>
        <w:snapToGrid w:val="0"/>
        <w:spacing w:before="120" w:beforeLines="50" w:after="120" w:afterLines="50" w:line="300" w:lineRule="auto"/>
        <w:rPr>
          <w:kern w:val="0"/>
          <w:szCs w:val="21"/>
        </w:rPr>
      </w:pPr>
      <w:r>
        <w:rPr>
          <w:kern w:val="0"/>
          <w:szCs w:val="21"/>
        </w:rPr>
        <w:t>6.2  回收率和精密度</w: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多家实验室验证的回收率为84.7</w:t>
      </w:r>
      <w:r>
        <w:rPr>
          <w:rFonts w:hint="eastAsia"/>
          <w:kern w:val="0"/>
          <w:szCs w:val="21"/>
        </w:rPr>
        <w:t>%</w:t>
      </w:r>
      <w:r>
        <w:rPr>
          <w:kern w:val="0"/>
          <w:szCs w:val="21"/>
        </w:rPr>
        <w:t>～114.4%，相对标准偏差小于10%（n=6）。</w:t>
      </w:r>
    </w:p>
    <w:p>
      <w:pPr>
        <w:autoSpaceDE w:val="0"/>
        <w:autoSpaceDN w:val="0"/>
        <w:adjustRightInd w:val="0"/>
        <w:snapToGrid w:val="0"/>
        <w:spacing w:before="120" w:beforeLines="50" w:after="120" w:afterLines="50" w:line="300" w:lineRule="auto"/>
        <w:rPr>
          <w:rFonts w:eastAsia="黑体"/>
          <w:kern w:val="0"/>
          <w:szCs w:val="21"/>
        </w:rPr>
      </w:pPr>
      <w:r>
        <w:rPr>
          <w:rFonts w:eastAsia="黑体"/>
          <w:bCs/>
          <w:kern w:val="0"/>
          <w:szCs w:val="21"/>
        </w:rPr>
        <w:t xml:space="preserve">7 </w:t>
      </w:r>
      <w:r>
        <w:rPr>
          <w:rFonts w:hint="eastAsia" w:eastAsia="黑体"/>
          <w:bCs/>
          <w:kern w:val="0"/>
          <w:szCs w:val="21"/>
        </w:rPr>
        <w:t xml:space="preserve"> </w:t>
      </w:r>
      <w:r>
        <w:rPr>
          <w:rFonts w:eastAsia="黑体"/>
          <w:bCs/>
          <w:kern w:val="0"/>
          <w:szCs w:val="21"/>
        </w:rPr>
        <w:t xml:space="preserve"> </w:t>
      </w:r>
      <w:r>
        <w:rPr>
          <w:rFonts w:eastAsia="黑体"/>
          <w:kern w:val="0"/>
          <w:szCs w:val="21"/>
        </w:rPr>
        <w:t>图谱</w:t>
      </w:r>
    </w:p>
    <w:p>
      <w:pPr>
        <w:autoSpaceDE w:val="0"/>
        <w:autoSpaceDN w:val="0"/>
        <w:adjustRightInd w:val="0"/>
        <w:spacing w:line="300" w:lineRule="auto"/>
        <w:jc w:val="center"/>
        <w:rPr>
          <w:kern w:val="0"/>
          <w:szCs w:val="21"/>
        </w:rPr>
      </w:pPr>
      <w:r>
        <w:rPr>
          <w:kern w:val="0"/>
          <w:szCs w:val="21"/>
        </w:rPr>
        <w:drawing>
          <wp:inline distT="0" distB="0" distL="0" distR="0">
            <wp:extent cx="4333240" cy="1788795"/>
            <wp:effectExtent l="0" t="0" r="0" b="1905"/>
            <wp:docPr id="1" name="图片 2" descr="图表&#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图表&#10;&#10;描述已自动生成"/>
                    <pic:cNvPicPr>
                      <a:picLocks noChangeAspect="true" noChangeArrowheads="true"/>
                    </pic:cNvPicPr>
                  </pic:nvPicPr>
                  <pic:blipFill>
                    <a:blip r:embed="rId6" cstate="print">
                      <a:extLst>
                        <a:ext uri="{28A0092B-C50C-407E-A947-70E740481C1C}">
                          <a14:useLocalDpi xmlns:a14="http://schemas.microsoft.com/office/drawing/2010/main" val="false"/>
                        </a:ext>
                      </a:extLst>
                    </a:blip>
                    <a:srcRect/>
                    <a:stretch>
                      <a:fillRect/>
                    </a:stretch>
                  </pic:blipFill>
                  <pic:spPr>
                    <a:xfrm>
                      <a:off x="0" y="0"/>
                      <a:ext cx="4333240" cy="1788795"/>
                    </a:xfrm>
                    <a:prstGeom prst="rect">
                      <a:avLst/>
                    </a:prstGeom>
                    <a:noFill/>
                    <a:ln>
                      <a:noFill/>
                    </a:ln>
                  </pic:spPr>
                </pic:pic>
              </a:graphicData>
            </a:graphic>
          </wp:inline>
        </w:drawing>
      </w:r>
    </w:p>
    <w:p>
      <w:pPr>
        <w:autoSpaceDE w:val="0"/>
        <w:autoSpaceDN w:val="0"/>
        <w:adjustRightInd w:val="0"/>
        <w:snapToGrid w:val="0"/>
        <w:spacing w:before="120" w:beforeLines="50" w:after="120" w:afterLines="50" w:line="300" w:lineRule="auto"/>
        <w:jc w:val="center"/>
        <w:rPr>
          <w:rFonts w:eastAsia="黑体"/>
          <w:kern w:val="0"/>
          <w:szCs w:val="21"/>
        </w:rPr>
      </w:pPr>
      <w:r>
        <w:rPr>
          <w:rFonts w:eastAsia="黑体"/>
          <w:kern w:val="0"/>
          <w:szCs w:val="21"/>
        </w:rPr>
        <w:t>图1 混合标准溶液的液相色谱图</w:t>
      </w:r>
    </w:p>
    <w:p>
      <w:pPr>
        <w:autoSpaceDE w:val="0"/>
        <w:autoSpaceDN w:val="0"/>
        <w:adjustRightInd w:val="0"/>
        <w:snapToGrid w:val="0"/>
        <w:spacing w:before="50" w:after="50" w:line="300" w:lineRule="auto"/>
        <w:jc w:val="center"/>
        <w:rPr>
          <w:kern w:val="0"/>
          <w:sz w:val="18"/>
          <w:szCs w:val="21"/>
        </w:rPr>
      </w:pPr>
      <w:r>
        <w:rPr>
          <w:kern w:val="0"/>
          <w:sz w:val="18"/>
          <w:szCs w:val="21"/>
        </w:rPr>
        <w:t>1：熊果苷；2：α-熊果苷；3：氢醌；4：苯酚</w:t>
      </w:r>
    </w:p>
    <w:p>
      <w:pPr>
        <w:autoSpaceDE w:val="0"/>
        <w:autoSpaceDN w:val="0"/>
        <w:adjustRightInd w:val="0"/>
        <w:snapToGrid w:val="0"/>
        <w:spacing w:before="50" w:after="50" w:line="300" w:lineRule="auto"/>
        <w:rPr>
          <w:kern w:val="0"/>
          <w:szCs w:val="21"/>
        </w:rPr>
      </w:pPr>
    </w:p>
    <w:p>
      <w:pPr>
        <w:autoSpaceDE w:val="0"/>
        <w:autoSpaceDN w:val="0"/>
        <w:adjustRightInd w:val="0"/>
        <w:snapToGrid w:val="0"/>
        <w:spacing w:before="120" w:beforeLines="50" w:after="120" w:afterLines="50" w:line="300" w:lineRule="auto"/>
        <w:jc w:val="center"/>
        <w:rPr>
          <w:rFonts w:eastAsia="黑体"/>
          <w:kern w:val="0"/>
          <w:szCs w:val="21"/>
        </w:rPr>
      </w:pPr>
      <w:r>
        <w:rPr>
          <w:rFonts w:eastAsia="黑体"/>
          <w:kern w:val="0"/>
          <w:szCs w:val="21"/>
        </w:rPr>
        <w:t>附录A</w:t>
      </w:r>
    </w:p>
    <w:p>
      <w:pPr>
        <w:pStyle w:val="2"/>
        <w:snapToGrid w:val="0"/>
        <w:spacing w:before="50" w:after="50" w:line="300" w:lineRule="auto"/>
        <w:ind w:left="0" w:leftChars="0" w:firstLine="0" w:firstLineChars="0"/>
        <w:jc w:val="center"/>
      </w:pPr>
      <w:r>
        <w:rPr>
          <w:rFonts w:eastAsia="黑体"/>
          <w:kern w:val="0"/>
        </w:rPr>
        <w:t>（资料性附录）</w:t>
      </w:r>
    </w:p>
    <w:p>
      <w:pPr>
        <w:autoSpaceDE w:val="0"/>
        <w:autoSpaceDN w:val="0"/>
        <w:adjustRightInd w:val="0"/>
        <w:snapToGrid w:val="0"/>
        <w:spacing w:before="120" w:beforeLines="50" w:after="120" w:afterLines="50" w:line="300" w:lineRule="auto"/>
        <w:jc w:val="center"/>
        <w:rPr>
          <w:rFonts w:eastAsia="黑体"/>
          <w:kern w:val="0"/>
          <w:szCs w:val="21"/>
        </w:rPr>
      </w:pPr>
      <w:r>
        <w:rPr>
          <w:rFonts w:eastAsia="黑体"/>
          <w:kern w:val="0"/>
          <w:szCs w:val="21"/>
        </w:rPr>
        <w:t>表A.1  α-熊果苷等4种原料标准品信息表</w:t>
      </w:r>
    </w:p>
    <w:tbl>
      <w:tblPr>
        <w:tblStyle w:val="7"/>
        <w:tblW w:w="8856" w:type="dxa"/>
        <w:jc w:val="center"/>
        <w:tblLayout w:type="fixed"/>
        <w:tblCellMar>
          <w:top w:w="0" w:type="dxa"/>
          <w:left w:w="108" w:type="dxa"/>
          <w:bottom w:w="0" w:type="dxa"/>
          <w:right w:w="108" w:type="dxa"/>
        </w:tblCellMar>
      </w:tblPr>
      <w:tblGrid>
        <w:gridCol w:w="1584"/>
        <w:gridCol w:w="1584"/>
        <w:gridCol w:w="1922"/>
        <w:gridCol w:w="1883"/>
        <w:gridCol w:w="1883"/>
      </w:tblGrid>
      <w:tr>
        <w:tblPrEx>
          <w:tblCellMar>
            <w:top w:w="0" w:type="dxa"/>
            <w:left w:w="108" w:type="dxa"/>
            <w:bottom w:w="0" w:type="dxa"/>
            <w:right w:w="108" w:type="dxa"/>
          </w:tblCellMar>
        </w:tblPrEx>
        <w:trPr>
          <w:trHeight w:val="397" w:hRule="atLeast"/>
          <w:jc w:val="center"/>
        </w:trPr>
        <w:tc>
          <w:tcPr>
            <w:tcW w:w="1584" w:type="dxa"/>
            <w:tcBorders>
              <w:top w:val="single" w:color="auto" w:sz="4" w:space="0"/>
              <w:bottom w:val="single" w:color="auto" w:sz="4" w:space="0"/>
            </w:tcBorders>
            <w:vAlign w:val="center"/>
          </w:tcPr>
          <w:p>
            <w:pPr>
              <w:jc w:val="center"/>
              <w:rPr>
                <w:szCs w:val="21"/>
              </w:rPr>
            </w:pPr>
            <w:r>
              <w:rPr>
                <w:szCs w:val="21"/>
              </w:rPr>
              <w:t>序号</w:t>
            </w:r>
          </w:p>
        </w:tc>
        <w:tc>
          <w:tcPr>
            <w:tcW w:w="1584" w:type="dxa"/>
            <w:tcBorders>
              <w:top w:val="single" w:color="auto" w:sz="4" w:space="0"/>
              <w:bottom w:val="single" w:color="auto" w:sz="4" w:space="0"/>
            </w:tcBorders>
            <w:vAlign w:val="center"/>
          </w:tcPr>
          <w:p>
            <w:pPr>
              <w:jc w:val="center"/>
              <w:rPr>
                <w:szCs w:val="21"/>
              </w:rPr>
            </w:pPr>
            <w:r>
              <w:rPr>
                <w:szCs w:val="21"/>
              </w:rPr>
              <w:t>原料名称</w:t>
            </w:r>
          </w:p>
        </w:tc>
        <w:tc>
          <w:tcPr>
            <w:tcW w:w="1922" w:type="dxa"/>
            <w:tcBorders>
              <w:top w:val="single" w:color="auto" w:sz="4" w:space="0"/>
              <w:bottom w:val="single" w:color="auto" w:sz="4" w:space="0"/>
            </w:tcBorders>
            <w:vAlign w:val="center"/>
          </w:tcPr>
          <w:p>
            <w:pPr>
              <w:jc w:val="center"/>
              <w:rPr>
                <w:szCs w:val="21"/>
              </w:rPr>
            </w:pPr>
            <w:r>
              <w:rPr>
                <w:szCs w:val="21"/>
              </w:rPr>
              <w:t>CAS号</w:t>
            </w:r>
          </w:p>
        </w:tc>
        <w:tc>
          <w:tcPr>
            <w:tcW w:w="1883" w:type="dxa"/>
            <w:tcBorders>
              <w:top w:val="single" w:color="auto" w:sz="4" w:space="0"/>
              <w:bottom w:val="single" w:color="auto" w:sz="4" w:space="0"/>
            </w:tcBorders>
            <w:vAlign w:val="center"/>
          </w:tcPr>
          <w:p>
            <w:pPr>
              <w:jc w:val="center"/>
              <w:rPr>
                <w:szCs w:val="21"/>
              </w:rPr>
            </w:pPr>
            <w:r>
              <w:rPr>
                <w:szCs w:val="21"/>
              </w:rPr>
              <w:t>分子式</w:t>
            </w:r>
          </w:p>
        </w:tc>
        <w:tc>
          <w:tcPr>
            <w:tcW w:w="1883" w:type="dxa"/>
            <w:tcBorders>
              <w:top w:val="single" w:color="auto" w:sz="4" w:space="0"/>
              <w:bottom w:val="single" w:color="auto" w:sz="4" w:space="0"/>
            </w:tcBorders>
            <w:vAlign w:val="center"/>
          </w:tcPr>
          <w:p>
            <w:pPr>
              <w:spacing w:line="300" w:lineRule="auto"/>
              <w:jc w:val="center"/>
              <w:rPr>
                <w:kern w:val="0"/>
                <w:szCs w:val="21"/>
              </w:rPr>
            </w:pPr>
            <w:r>
              <w:rPr>
                <w:kern w:val="0"/>
                <w:szCs w:val="21"/>
              </w:rPr>
              <w:t>相对分子质量</w:t>
            </w:r>
          </w:p>
        </w:tc>
      </w:tr>
      <w:tr>
        <w:tblPrEx>
          <w:tblCellMar>
            <w:top w:w="0" w:type="dxa"/>
            <w:left w:w="108" w:type="dxa"/>
            <w:bottom w:w="0" w:type="dxa"/>
            <w:right w:w="108" w:type="dxa"/>
          </w:tblCellMar>
        </w:tblPrEx>
        <w:trPr>
          <w:trHeight w:val="397" w:hRule="atLeast"/>
          <w:jc w:val="center"/>
        </w:trPr>
        <w:tc>
          <w:tcPr>
            <w:tcW w:w="1584" w:type="dxa"/>
            <w:tcBorders>
              <w:top w:val="single" w:color="auto" w:sz="4" w:space="0"/>
            </w:tcBorders>
            <w:vAlign w:val="center"/>
          </w:tcPr>
          <w:p>
            <w:pPr>
              <w:jc w:val="center"/>
              <w:rPr>
                <w:szCs w:val="21"/>
              </w:rPr>
            </w:pPr>
            <w:r>
              <w:rPr>
                <w:szCs w:val="21"/>
              </w:rPr>
              <w:t>1</w:t>
            </w:r>
          </w:p>
        </w:tc>
        <w:tc>
          <w:tcPr>
            <w:tcW w:w="1584" w:type="dxa"/>
            <w:tcBorders>
              <w:top w:val="single" w:color="auto" w:sz="4" w:space="0"/>
            </w:tcBorders>
            <w:vAlign w:val="center"/>
          </w:tcPr>
          <w:p>
            <w:pPr>
              <w:jc w:val="center"/>
              <w:rPr>
                <w:szCs w:val="21"/>
              </w:rPr>
            </w:pPr>
            <w:r>
              <w:rPr>
                <w:szCs w:val="21"/>
              </w:rPr>
              <w:t>α-熊果苷</w:t>
            </w:r>
          </w:p>
        </w:tc>
        <w:tc>
          <w:tcPr>
            <w:tcW w:w="1922" w:type="dxa"/>
            <w:tcBorders>
              <w:top w:val="single" w:color="auto" w:sz="4" w:space="0"/>
            </w:tcBorders>
            <w:vAlign w:val="center"/>
          </w:tcPr>
          <w:p>
            <w:pPr>
              <w:jc w:val="center"/>
              <w:rPr>
                <w:szCs w:val="21"/>
              </w:rPr>
            </w:pPr>
            <w:r>
              <w:rPr>
                <w:kern w:val="0"/>
                <w:szCs w:val="21"/>
              </w:rPr>
              <w:t>84380-01-8</w:t>
            </w:r>
          </w:p>
        </w:tc>
        <w:tc>
          <w:tcPr>
            <w:tcW w:w="1883" w:type="dxa"/>
            <w:tcBorders>
              <w:top w:val="single" w:color="auto" w:sz="4" w:space="0"/>
            </w:tcBorders>
            <w:vAlign w:val="center"/>
          </w:tcPr>
          <w:p>
            <w:pPr>
              <w:jc w:val="center"/>
              <w:rPr>
                <w:szCs w:val="21"/>
              </w:rPr>
            </w:pPr>
            <w:r>
              <w:rPr>
                <w:szCs w:val="21"/>
              </w:rPr>
              <w:t>C</w:t>
            </w:r>
            <w:r>
              <w:rPr>
                <w:szCs w:val="21"/>
                <w:vertAlign w:val="subscript"/>
              </w:rPr>
              <w:t>12</w:t>
            </w:r>
            <w:r>
              <w:rPr>
                <w:szCs w:val="21"/>
              </w:rPr>
              <w:t>H</w:t>
            </w:r>
            <w:r>
              <w:rPr>
                <w:szCs w:val="21"/>
                <w:vertAlign w:val="subscript"/>
              </w:rPr>
              <w:t>16</w:t>
            </w:r>
            <w:r>
              <w:rPr>
                <w:szCs w:val="21"/>
              </w:rPr>
              <w:t>O</w:t>
            </w:r>
            <w:r>
              <w:rPr>
                <w:szCs w:val="21"/>
                <w:vertAlign w:val="subscript"/>
              </w:rPr>
              <w:t>7</w:t>
            </w:r>
          </w:p>
        </w:tc>
        <w:tc>
          <w:tcPr>
            <w:tcW w:w="1883" w:type="dxa"/>
            <w:tcBorders>
              <w:top w:val="single" w:color="auto" w:sz="4" w:space="0"/>
            </w:tcBorders>
            <w:vAlign w:val="center"/>
          </w:tcPr>
          <w:p>
            <w:pPr>
              <w:jc w:val="center"/>
              <w:rPr>
                <w:szCs w:val="21"/>
              </w:rPr>
            </w:pPr>
            <w:r>
              <w:rPr>
                <w:kern w:val="0"/>
                <w:szCs w:val="21"/>
              </w:rPr>
              <w:t>272.25</w:t>
            </w:r>
          </w:p>
        </w:tc>
      </w:tr>
      <w:tr>
        <w:tblPrEx>
          <w:tblCellMar>
            <w:top w:w="0" w:type="dxa"/>
            <w:left w:w="108" w:type="dxa"/>
            <w:bottom w:w="0" w:type="dxa"/>
            <w:right w:w="108" w:type="dxa"/>
          </w:tblCellMar>
        </w:tblPrEx>
        <w:trPr>
          <w:trHeight w:val="397" w:hRule="atLeast"/>
          <w:jc w:val="center"/>
        </w:trPr>
        <w:tc>
          <w:tcPr>
            <w:tcW w:w="1584" w:type="dxa"/>
            <w:vAlign w:val="center"/>
          </w:tcPr>
          <w:p>
            <w:pPr>
              <w:jc w:val="center"/>
              <w:rPr>
                <w:szCs w:val="21"/>
              </w:rPr>
            </w:pPr>
            <w:r>
              <w:rPr>
                <w:szCs w:val="21"/>
              </w:rPr>
              <w:t>2</w:t>
            </w:r>
          </w:p>
        </w:tc>
        <w:tc>
          <w:tcPr>
            <w:tcW w:w="1584" w:type="dxa"/>
            <w:vAlign w:val="center"/>
          </w:tcPr>
          <w:p>
            <w:pPr>
              <w:jc w:val="center"/>
              <w:rPr>
                <w:szCs w:val="21"/>
              </w:rPr>
            </w:pPr>
            <w:r>
              <w:rPr>
                <w:szCs w:val="21"/>
              </w:rPr>
              <w:t>熊果苷</w:t>
            </w:r>
          </w:p>
        </w:tc>
        <w:tc>
          <w:tcPr>
            <w:tcW w:w="1922" w:type="dxa"/>
            <w:vAlign w:val="center"/>
          </w:tcPr>
          <w:p>
            <w:pPr>
              <w:jc w:val="center"/>
              <w:rPr>
                <w:spacing w:val="8"/>
                <w:szCs w:val="21"/>
              </w:rPr>
            </w:pPr>
            <w:r>
              <w:rPr>
                <w:kern w:val="0"/>
                <w:szCs w:val="21"/>
              </w:rPr>
              <w:t>497-76-7</w:t>
            </w:r>
          </w:p>
        </w:tc>
        <w:tc>
          <w:tcPr>
            <w:tcW w:w="1883" w:type="dxa"/>
            <w:vAlign w:val="center"/>
          </w:tcPr>
          <w:p>
            <w:pPr>
              <w:jc w:val="center"/>
              <w:rPr>
                <w:szCs w:val="21"/>
                <w:shd w:val="clear" w:color="auto" w:fill="FFFFFF"/>
              </w:rPr>
            </w:pPr>
            <w:r>
              <w:rPr>
                <w:szCs w:val="21"/>
              </w:rPr>
              <w:t>C</w:t>
            </w:r>
            <w:r>
              <w:rPr>
                <w:szCs w:val="21"/>
                <w:vertAlign w:val="subscript"/>
              </w:rPr>
              <w:t>12</w:t>
            </w:r>
            <w:r>
              <w:rPr>
                <w:szCs w:val="21"/>
              </w:rPr>
              <w:t>H</w:t>
            </w:r>
            <w:r>
              <w:rPr>
                <w:szCs w:val="21"/>
                <w:vertAlign w:val="subscript"/>
              </w:rPr>
              <w:t>16</w:t>
            </w:r>
            <w:r>
              <w:rPr>
                <w:szCs w:val="21"/>
              </w:rPr>
              <w:t>O</w:t>
            </w:r>
            <w:r>
              <w:rPr>
                <w:szCs w:val="21"/>
                <w:vertAlign w:val="subscript"/>
              </w:rPr>
              <w:t>7</w:t>
            </w:r>
          </w:p>
        </w:tc>
        <w:tc>
          <w:tcPr>
            <w:tcW w:w="1883" w:type="dxa"/>
            <w:vAlign w:val="center"/>
          </w:tcPr>
          <w:p>
            <w:pPr>
              <w:jc w:val="center"/>
              <w:rPr>
                <w:spacing w:val="8"/>
                <w:szCs w:val="21"/>
              </w:rPr>
            </w:pPr>
            <w:r>
              <w:rPr>
                <w:kern w:val="0"/>
                <w:szCs w:val="21"/>
              </w:rPr>
              <w:t>272.25</w:t>
            </w:r>
          </w:p>
        </w:tc>
      </w:tr>
      <w:tr>
        <w:tblPrEx>
          <w:tblCellMar>
            <w:top w:w="0" w:type="dxa"/>
            <w:left w:w="108" w:type="dxa"/>
            <w:bottom w:w="0" w:type="dxa"/>
            <w:right w:w="108" w:type="dxa"/>
          </w:tblCellMar>
        </w:tblPrEx>
        <w:trPr>
          <w:trHeight w:val="397" w:hRule="atLeast"/>
          <w:jc w:val="center"/>
        </w:trPr>
        <w:tc>
          <w:tcPr>
            <w:tcW w:w="1584" w:type="dxa"/>
            <w:vAlign w:val="center"/>
          </w:tcPr>
          <w:p>
            <w:pPr>
              <w:jc w:val="center"/>
              <w:rPr>
                <w:szCs w:val="21"/>
              </w:rPr>
            </w:pPr>
            <w:r>
              <w:rPr>
                <w:szCs w:val="21"/>
              </w:rPr>
              <w:t>3</w:t>
            </w:r>
          </w:p>
        </w:tc>
        <w:tc>
          <w:tcPr>
            <w:tcW w:w="1584" w:type="dxa"/>
            <w:vAlign w:val="center"/>
          </w:tcPr>
          <w:p>
            <w:pPr>
              <w:jc w:val="center"/>
              <w:rPr>
                <w:szCs w:val="21"/>
              </w:rPr>
            </w:pPr>
            <w:r>
              <w:rPr>
                <w:szCs w:val="21"/>
              </w:rPr>
              <w:t>氢醌</w:t>
            </w:r>
          </w:p>
        </w:tc>
        <w:tc>
          <w:tcPr>
            <w:tcW w:w="1922" w:type="dxa"/>
            <w:vAlign w:val="center"/>
          </w:tcPr>
          <w:p>
            <w:pPr>
              <w:jc w:val="center"/>
              <w:rPr>
                <w:spacing w:val="8"/>
                <w:szCs w:val="21"/>
              </w:rPr>
            </w:pPr>
            <w:r>
              <w:rPr>
                <w:kern w:val="0"/>
                <w:szCs w:val="21"/>
              </w:rPr>
              <w:t>123-31-9</w:t>
            </w:r>
          </w:p>
        </w:tc>
        <w:tc>
          <w:tcPr>
            <w:tcW w:w="1883" w:type="dxa"/>
            <w:vAlign w:val="center"/>
          </w:tcPr>
          <w:p>
            <w:pPr>
              <w:jc w:val="center"/>
              <w:rPr>
                <w:szCs w:val="21"/>
                <w:shd w:val="clear" w:color="auto" w:fill="FFFFFF"/>
              </w:rPr>
            </w:pPr>
            <w:r>
              <w:rPr>
                <w:szCs w:val="21"/>
              </w:rPr>
              <w:t>C</w:t>
            </w:r>
            <w:r>
              <w:rPr>
                <w:szCs w:val="21"/>
                <w:vertAlign w:val="subscript"/>
              </w:rPr>
              <w:t>6</w:t>
            </w:r>
            <w:r>
              <w:rPr>
                <w:szCs w:val="21"/>
              </w:rPr>
              <w:t>H</w:t>
            </w:r>
            <w:r>
              <w:rPr>
                <w:szCs w:val="21"/>
                <w:vertAlign w:val="subscript"/>
              </w:rPr>
              <w:t>6</w:t>
            </w:r>
            <w:r>
              <w:rPr>
                <w:szCs w:val="21"/>
              </w:rPr>
              <w:t>O</w:t>
            </w:r>
            <w:r>
              <w:rPr>
                <w:szCs w:val="21"/>
                <w:vertAlign w:val="subscript"/>
              </w:rPr>
              <w:t>2</w:t>
            </w:r>
          </w:p>
        </w:tc>
        <w:tc>
          <w:tcPr>
            <w:tcW w:w="1883" w:type="dxa"/>
            <w:vAlign w:val="center"/>
          </w:tcPr>
          <w:p>
            <w:pPr>
              <w:jc w:val="center"/>
              <w:rPr>
                <w:spacing w:val="8"/>
                <w:szCs w:val="21"/>
              </w:rPr>
            </w:pPr>
            <w:r>
              <w:rPr>
                <w:kern w:val="0"/>
                <w:szCs w:val="21"/>
              </w:rPr>
              <w:t>110.11</w:t>
            </w:r>
          </w:p>
        </w:tc>
      </w:tr>
      <w:tr>
        <w:tblPrEx>
          <w:tblCellMar>
            <w:top w:w="0" w:type="dxa"/>
            <w:left w:w="108" w:type="dxa"/>
            <w:bottom w:w="0" w:type="dxa"/>
            <w:right w:w="108" w:type="dxa"/>
          </w:tblCellMar>
        </w:tblPrEx>
        <w:trPr>
          <w:trHeight w:val="397" w:hRule="atLeast"/>
          <w:jc w:val="center"/>
        </w:trPr>
        <w:tc>
          <w:tcPr>
            <w:tcW w:w="1584" w:type="dxa"/>
            <w:tcBorders>
              <w:bottom w:val="single" w:color="auto" w:sz="4" w:space="0"/>
            </w:tcBorders>
            <w:vAlign w:val="center"/>
          </w:tcPr>
          <w:p>
            <w:pPr>
              <w:jc w:val="center"/>
              <w:rPr>
                <w:szCs w:val="21"/>
              </w:rPr>
            </w:pPr>
            <w:r>
              <w:rPr>
                <w:szCs w:val="21"/>
              </w:rPr>
              <w:t>4</w:t>
            </w:r>
          </w:p>
        </w:tc>
        <w:tc>
          <w:tcPr>
            <w:tcW w:w="1584" w:type="dxa"/>
            <w:tcBorders>
              <w:bottom w:val="single" w:color="auto" w:sz="4" w:space="0"/>
            </w:tcBorders>
            <w:vAlign w:val="center"/>
          </w:tcPr>
          <w:p>
            <w:pPr>
              <w:jc w:val="center"/>
              <w:rPr>
                <w:szCs w:val="21"/>
              </w:rPr>
            </w:pPr>
            <w:r>
              <w:rPr>
                <w:szCs w:val="21"/>
              </w:rPr>
              <w:t>苯酚</w:t>
            </w:r>
          </w:p>
        </w:tc>
        <w:tc>
          <w:tcPr>
            <w:tcW w:w="1922" w:type="dxa"/>
            <w:tcBorders>
              <w:bottom w:val="single" w:color="auto" w:sz="4" w:space="0"/>
            </w:tcBorders>
            <w:vAlign w:val="center"/>
          </w:tcPr>
          <w:p>
            <w:pPr>
              <w:widowControl/>
              <w:jc w:val="center"/>
              <w:rPr>
                <w:spacing w:val="8"/>
                <w:szCs w:val="21"/>
              </w:rPr>
            </w:pPr>
            <w:r>
              <w:rPr>
                <w:szCs w:val="21"/>
              </w:rPr>
              <w:t>108-95-2</w:t>
            </w:r>
          </w:p>
        </w:tc>
        <w:tc>
          <w:tcPr>
            <w:tcW w:w="1883" w:type="dxa"/>
            <w:tcBorders>
              <w:bottom w:val="single" w:color="auto" w:sz="4" w:space="0"/>
            </w:tcBorders>
            <w:vAlign w:val="center"/>
          </w:tcPr>
          <w:p>
            <w:pPr>
              <w:jc w:val="center"/>
              <w:rPr>
                <w:szCs w:val="21"/>
                <w:shd w:val="clear" w:color="auto" w:fill="FFFFFF"/>
              </w:rPr>
            </w:pPr>
            <w:r>
              <w:rPr>
                <w:szCs w:val="21"/>
              </w:rPr>
              <w:t>C</w:t>
            </w:r>
            <w:r>
              <w:rPr>
                <w:szCs w:val="21"/>
                <w:vertAlign w:val="subscript"/>
              </w:rPr>
              <w:t>6</w:t>
            </w:r>
            <w:r>
              <w:rPr>
                <w:szCs w:val="21"/>
              </w:rPr>
              <w:t>H</w:t>
            </w:r>
            <w:r>
              <w:rPr>
                <w:szCs w:val="21"/>
                <w:vertAlign w:val="subscript"/>
              </w:rPr>
              <w:t>6</w:t>
            </w:r>
            <w:r>
              <w:rPr>
                <w:szCs w:val="21"/>
              </w:rPr>
              <w:t>O</w:t>
            </w:r>
          </w:p>
        </w:tc>
        <w:tc>
          <w:tcPr>
            <w:tcW w:w="1883" w:type="dxa"/>
            <w:tcBorders>
              <w:bottom w:val="single" w:color="auto" w:sz="4" w:space="0"/>
            </w:tcBorders>
            <w:vAlign w:val="center"/>
          </w:tcPr>
          <w:p>
            <w:pPr>
              <w:widowControl/>
              <w:jc w:val="center"/>
              <w:rPr>
                <w:spacing w:val="8"/>
                <w:szCs w:val="21"/>
              </w:rPr>
            </w:pPr>
            <w:r>
              <w:rPr>
                <w:szCs w:val="21"/>
              </w:rPr>
              <w:t>94.11</w:t>
            </w:r>
          </w:p>
        </w:tc>
      </w:tr>
    </w:tbl>
    <w:p>
      <w:pPr>
        <w:widowControl/>
        <w:jc w:val="left"/>
        <w:rPr>
          <w:kern w:val="0"/>
          <w:szCs w:val="23"/>
        </w:rPr>
      </w:pPr>
      <w:bookmarkStart w:id="0" w:name="_GoBack"/>
      <w:bookmarkEnd w:id="0"/>
      <w:r>
        <w:rPr>
          <w:kern w:val="0"/>
          <w:szCs w:val="23"/>
        </w:rPr>
        <w:br w:type="page"/>
      </w:r>
    </w:p>
    <w:p>
      <w:pPr>
        <w:autoSpaceDE w:val="0"/>
        <w:autoSpaceDN w:val="0"/>
        <w:adjustRightInd w:val="0"/>
        <w:snapToGrid w:val="0"/>
        <w:spacing w:before="120" w:beforeLines="50" w:after="120" w:afterLines="50" w:line="300" w:lineRule="auto"/>
        <w:jc w:val="center"/>
        <w:rPr>
          <w:rFonts w:eastAsia="黑体"/>
          <w:kern w:val="0"/>
          <w:szCs w:val="21"/>
        </w:rPr>
      </w:pPr>
      <w:r>
        <w:rPr>
          <w:rFonts w:eastAsia="黑体"/>
          <w:kern w:val="0"/>
          <w:szCs w:val="21"/>
        </w:rPr>
        <w:t>附录B</w:t>
      </w:r>
    </w:p>
    <w:p>
      <w:pPr>
        <w:pStyle w:val="2"/>
        <w:snapToGrid w:val="0"/>
        <w:spacing w:before="50" w:after="50" w:line="300" w:lineRule="auto"/>
        <w:ind w:left="0" w:leftChars="0" w:firstLine="0" w:firstLineChars="0"/>
        <w:jc w:val="center"/>
      </w:pPr>
      <w:r>
        <w:rPr>
          <w:rFonts w:eastAsia="黑体"/>
          <w:kern w:val="0"/>
        </w:rPr>
        <w:t>（资料性附录）</w:t>
      </w:r>
    </w:p>
    <w:p>
      <w:pPr>
        <w:autoSpaceDE w:val="0"/>
        <w:autoSpaceDN w:val="0"/>
        <w:adjustRightInd w:val="0"/>
        <w:snapToGrid w:val="0"/>
        <w:spacing w:before="120" w:beforeLines="50" w:after="120" w:afterLines="50" w:line="300" w:lineRule="auto"/>
        <w:jc w:val="center"/>
        <w:rPr>
          <w:rFonts w:eastAsia="黑体"/>
          <w:kern w:val="0"/>
          <w:szCs w:val="21"/>
        </w:rPr>
      </w:pPr>
      <w:r>
        <w:rPr>
          <w:rFonts w:eastAsia="黑体"/>
          <w:kern w:val="0"/>
          <w:szCs w:val="21"/>
        </w:rPr>
        <w:t>α-熊果苷、熊果苷、氢醌和苯酚结果的定性确证</w:t>
      </w:r>
    </w:p>
    <w:p>
      <w:pPr>
        <w:autoSpaceDE w:val="0"/>
        <w:autoSpaceDN w:val="0"/>
        <w:adjustRightInd w:val="0"/>
        <w:snapToGrid w:val="0"/>
        <w:spacing w:before="120" w:beforeLines="50" w:after="120" w:afterLines="50" w:line="300" w:lineRule="auto"/>
        <w:jc w:val="left"/>
        <w:rPr>
          <w:rFonts w:eastAsia="黑体"/>
          <w:kern w:val="0"/>
          <w:szCs w:val="21"/>
        </w:rPr>
      </w:pPr>
      <w:r>
        <w:rPr>
          <w:rFonts w:eastAsia="黑体"/>
          <w:kern w:val="0"/>
          <w:szCs w:val="21"/>
        </w:rPr>
        <w:t>B.1  α-熊果苷和熊果苷的液相色谱-串联质谱法确证</w:t>
      </w:r>
    </w:p>
    <w:p>
      <w:pPr>
        <w:autoSpaceDE w:val="0"/>
        <w:autoSpaceDN w:val="0"/>
        <w:adjustRightInd w:val="0"/>
        <w:snapToGrid w:val="0"/>
        <w:spacing w:before="50" w:after="50" w:line="300" w:lineRule="auto"/>
        <w:rPr>
          <w:kern w:val="0"/>
          <w:szCs w:val="21"/>
        </w:rPr>
      </w:pPr>
      <w:r>
        <w:rPr>
          <w:kern w:val="0"/>
          <w:szCs w:val="21"/>
        </w:rPr>
        <w:t>B.1.1  试剂和材料</w:t>
      </w:r>
    </w:p>
    <w:p>
      <w:pPr>
        <w:autoSpaceDE w:val="0"/>
        <w:autoSpaceDN w:val="0"/>
        <w:adjustRightInd w:val="0"/>
        <w:snapToGrid w:val="0"/>
        <w:spacing w:before="50" w:after="50" w:line="300" w:lineRule="auto"/>
        <w:rPr>
          <w:kern w:val="0"/>
          <w:szCs w:val="21"/>
        </w:rPr>
      </w:pPr>
      <w:r>
        <w:rPr>
          <w:kern w:val="0"/>
          <w:szCs w:val="21"/>
        </w:rPr>
        <w:t>B.1.1.1  微孔滤膜（0.22 μm）。</w:t>
      </w:r>
    </w:p>
    <w:p>
      <w:pPr>
        <w:autoSpaceDE w:val="0"/>
        <w:autoSpaceDN w:val="0"/>
        <w:adjustRightInd w:val="0"/>
        <w:snapToGrid w:val="0"/>
        <w:spacing w:before="50" w:after="50" w:line="300" w:lineRule="auto"/>
        <w:rPr>
          <w:kern w:val="0"/>
          <w:szCs w:val="21"/>
        </w:rPr>
      </w:pPr>
      <w:r>
        <w:rPr>
          <w:kern w:val="0"/>
          <w:szCs w:val="21"/>
        </w:rPr>
        <w:t>B.1.2  仪器和设备</w:t>
      </w:r>
    </w:p>
    <w:p>
      <w:pPr>
        <w:autoSpaceDE w:val="0"/>
        <w:autoSpaceDN w:val="0"/>
        <w:adjustRightInd w:val="0"/>
        <w:snapToGrid w:val="0"/>
        <w:spacing w:before="50" w:after="50" w:line="300" w:lineRule="auto"/>
        <w:rPr>
          <w:kern w:val="0"/>
          <w:szCs w:val="21"/>
        </w:rPr>
      </w:pPr>
      <w:r>
        <w:rPr>
          <w:kern w:val="0"/>
          <w:szCs w:val="21"/>
        </w:rPr>
        <w:t>B.1.2.1  液相色谱-串联质谱联用仪，带电喷雾离子源（ESI源）。</w:t>
      </w:r>
    </w:p>
    <w:p>
      <w:pPr>
        <w:autoSpaceDE w:val="0"/>
        <w:autoSpaceDN w:val="0"/>
        <w:adjustRightInd w:val="0"/>
        <w:snapToGrid w:val="0"/>
        <w:spacing w:before="50" w:after="50" w:line="300" w:lineRule="auto"/>
        <w:rPr>
          <w:kern w:val="0"/>
          <w:szCs w:val="21"/>
        </w:rPr>
      </w:pPr>
      <w:r>
        <w:rPr>
          <w:kern w:val="0"/>
          <w:szCs w:val="21"/>
        </w:rPr>
        <w:t>B.1.2.2  高速离心机，转速不低于14000 r/min。</w:t>
      </w:r>
    </w:p>
    <w:p>
      <w:pPr>
        <w:autoSpaceDE w:val="0"/>
        <w:autoSpaceDN w:val="0"/>
        <w:adjustRightInd w:val="0"/>
        <w:snapToGrid w:val="0"/>
        <w:spacing w:before="50" w:after="50" w:line="300" w:lineRule="auto"/>
        <w:rPr>
          <w:kern w:val="0"/>
          <w:szCs w:val="21"/>
        </w:rPr>
      </w:pPr>
      <w:r>
        <w:rPr>
          <w:kern w:val="0"/>
          <w:szCs w:val="21"/>
        </w:rPr>
        <w:t>B.1.3  样品处理</w: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取正文</w:t>
      </w:r>
      <w:r>
        <w:rPr>
          <w:rFonts w:hint="eastAsia"/>
          <w:kern w:val="0"/>
          <w:szCs w:val="21"/>
        </w:rPr>
        <w:t>“</w:t>
      </w:r>
      <w:r>
        <w:rPr>
          <w:kern w:val="0"/>
          <w:szCs w:val="21"/>
        </w:rPr>
        <w:t>5.3样品处理</w:t>
      </w:r>
      <w:r>
        <w:rPr>
          <w:rFonts w:hint="eastAsia"/>
          <w:kern w:val="0"/>
          <w:szCs w:val="21"/>
        </w:rPr>
        <w:t>”</w:t>
      </w:r>
      <w:r>
        <w:rPr>
          <w:kern w:val="0"/>
          <w:szCs w:val="21"/>
        </w:rPr>
        <w:t>项下待测溶液，加适量水稀释至</w:t>
      </w:r>
      <w:r>
        <w:rPr>
          <w:rFonts w:eastAsiaTheme="minorEastAsia"/>
          <w:kern w:val="0"/>
          <w:szCs w:val="21"/>
        </w:rPr>
        <w:t>α-熊果苷、熊果苷</w:t>
      </w:r>
      <w:r>
        <w:rPr>
          <w:kern w:val="0"/>
          <w:szCs w:val="21"/>
        </w:rPr>
        <w:t>的浓度在20～200 ng/mL之间，离心（转速14000 r/min）5 min，取上清液，用微孔滤膜（B.1.1.1）过滤，取续滤液作为待测溶液。</w:t>
      </w:r>
    </w:p>
    <w:p>
      <w:pPr>
        <w:autoSpaceDE w:val="0"/>
        <w:autoSpaceDN w:val="0"/>
        <w:adjustRightInd w:val="0"/>
        <w:snapToGrid w:val="0"/>
        <w:spacing w:before="120" w:beforeLines="50" w:after="120" w:afterLines="50" w:line="300" w:lineRule="auto"/>
        <w:rPr>
          <w:kern w:val="0"/>
          <w:szCs w:val="21"/>
        </w:rPr>
      </w:pPr>
      <w:r>
        <w:rPr>
          <w:kern w:val="0"/>
          <w:szCs w:val="21"/>
        </w:rPr>
        <w:t>B.1.4  参考色谱条件</w:t>
      </w:r>
    </w:p>
    <w:p>
      <w:pPr>
        <w:autoSpaceDE w:val="0"/>
        <w:autoSpaceDN w:val="0"/>
        <w:adjustRightInd w:val="0"/>
        <w:snapToGrid w:val="0"/>
        <w:spacing w:before="50" w:after="50" w:line="300" w:lineRule="auto"/>
        <w:ind w:firstLine="420" w:firstLineChars="200"/>
        <w:rPr>
          <w:kern w:val="0"/>
          <w:szCs w:val="21"/>
        </w:rPr>
      </w:pPr>
      <w:r>
        <w:rPr>
          <w:kern w:val="0"/>
          <w:szCs w:val="21"/>
        </w:rPr>
        <w:t>色谱柱：C</w:t>
      </w:r>
      <w:r>
        <w:rPr>
          <w:kern w:val="0"/>
          <w:szCs w:val="21"/>
          <w:vertAlign w:val="subscript"/>
        </w:rPr>
        <w:t>18</w:t>
      </w:r>
      <w:r>
        <w:rPr>
          <w:kern w:val="0"/>
          <w:szCs w:val="21"/>
        </w:rPr>
        <w:t>柱（4.6 mm×100</w:t>
      </w:r>
      <w:r>
        <w:rPr>
          <w:rFonts w:hint="eastAsia"/>
          <w:kern w:val="0"/>
          <w:szCs w:val="21"/>
        </w:rPr>
        <w:t xml:space="preserve"> </w:t>
      </w:r>
      <w:r>
        <w:rPr>
          <w:kern w:val="0"/>
          <w:szCs w:val="21"/>
        </w:rPr>
        <w:t>mm</w:t>
      </w:r>
      <w:r>
        <w:rPr>
          <w:rFonts w:hint="eastAsia"/>
          <w:kern w:val="0"/>
          <w:szCs w:val="21"/>
        </w:rPr>
        <w:t>，</w:t>
      </w:r>
      <w:r>
        <w:rPr>
          <w:kern w:val="0"/>
          <w:szCs w:val="21"/>
        </w:rPr>
        <w:t>2.7 μm），或等效色谱柱；</w:t>
      </w:r>
    </w:p>
    <w:p>
      <w:pPr>
        <w:autoSpaceDE w:val="0"/>
        <w:autoSpaceDN w:val="0"/>
        <w:adjustRightInd w:val="0"/>
        <w:snapToGrid w:val="0"/>
        <w:spacing w:before="50" w:after="50" w:line="300" w:lineRule="auto"/>
        <w:ind w:firstLine="420" w:firstLineChars="200"/>
        <w:rPr>
          <w:kern w:val="0"/>
          <w:szCs w:val="21"/>
        </w:rPr>
      </w:pPr>
      <w:r>
        <w:rPr>
          <w:kern w:val="0"/>
          <w:szCs w:val="21"/>
        </w:rPr>
        <w:t xml:space="preserve">柱温：20 </w:t>
      </w:r>
      <w:r>
        <w:rPr>
          <w:rFonts w:hint="eastAsia" w:ascii="宋体" w:hAnsi="宋体" w:cs="宋体"/>
          <w:kern w:val="0"/>
          <w:szCs w:val="21"/>
        </w:rPr>
        <w:t>℃</w:t>
      </w:r>
      <w:r>
        <w:rPr>
          <w:kern w:val="0"/>
          <w:szCs w:val="21"/>
        </w:rPr>
        <w:t>；</w:t>
      </w:r>
    </w:p>
    <w:p>
      <w:pPr>
        <w:autoSpaceDE w:val="0"/>
        <w:autoSpaceDN w:val="0"/>
        <w:adjustRightInd w:val="0"/>
        <w:snapToGrid w:val="0"/>
        <w:spacing w:before="50" w:after="50" w:line="300" w:lineRule="auto"/>
        <w:ind w:firstLine="420" w:firstLineChars="200"/>
        <w:rPr>
          <w:kern w:val="0"/>
          <w:szCs w:val="21"/>
        </w:rPr>
      </w:pPr>
      <w:r>
        <w:rPr>
          <w:kern w:val="0"/>
          <w:szCs w:val="21"/>
        </w:rPr>
        <w:t>进样量：2 μL；</w:t>
      </w:r>
    </w:p>
    <w:p>
      <w:pPr>
        <w:autoSpaceDE w:val="0"/>
        <w:autoSpaceDN w:val="0"/>
        <w:adjustRightInd w:val="0"/>
        <w:snapToGrid w:val="0"/>
        <w:spacing w:before="50" w:after="50" w:line="300" w:lineRule="auto"/>
        <w:ind w:firstLine="420" w:firstLineChars="200"/>
        <w:rPr>
          <w:kern w:val="0"/>
          <w:szCs w:val="21"/>
        </w:rPr>
      </w:pPr>
      <w:r>
        <w:rPr>
          <w:kern w:val="0"/>
          <w:szCs w:val="21"/>
        </w:rPr>
        <w:t>流动相：A：水，B：甲醇；梯度洗脱程序详见表B.1；</w:t>
      </w:r>
    </w:p>
    <w:p>
      <w:pPr>
        <w:autoSpaceDE w:val="0"/>
        <w:autoSpaceDN w:val="0"/>
        <w:adjustRightInd w:val="0"/>
        <w:snapToGrid w:val="0"/>
        <w:spacing w:before="50" w:after="50" w:line="300" w:lineRule="auto"/>
        <w:ind w:firstLine="420" w:firstLineChars="200"/>
        <w:rPr>
          <w:kern w:val="0"/>
          <w:szCs w:val="21"/>
        </w:rPr>
      </w:pPr>
      <w:r>
        <w:rPr>
          <w:kern w:val="0"/>
          <w:szCs w:val="21"/>
        </w:rPr>
        <w:t>流速：0.3 mL/min。</w:t>
      </w:r>
    </w:p>
    <w:p>
      <w:pPr>
        <w:autoSpaceDE w:val="0"/>
        <w:autoSpaceDN w:val="0"/>
        <w:adjustRightInd w:val="0"/>
        <w:snapToGrid w:val="0"/>
        <w:spacing w:before="120" w:beforeLines="50" w:after="120" w:afterLines="50" w:line="300" w:lineRule="auto"/>
        <w:ind w:firstLine="420" w:firstLineChars="200"/>
        <w:jc w:val="center"/>
        <w:rPr>
          <w:rFonts w:eastAsia="黑体"/>
          <w:kern w:val="0"/>
          <w:szCs w:val="21"/>
        </w:rPr>
      </w:pPr>
      <w:r>
        <w:rPr>
          <w:rFonts w:eastAsia="黑体"/>
          <w:kern w:val="0"/>
          <w:szCs w:val="21"/>
        </w:rPr>
        <w:t>表B.1 流动相梯度洗脱程序</w:t>
      </w:r>
    </w:p>
    <w:tbl>
      <w:tblPr>
        <w:tblStyle w:val="7"/>
        <w:tblW w:w="8856"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6"/>
        <w:gridCol w:w="3040"/>
        <w:gridCol w:w="3040"/>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时间/min</w:t>
            </w:r>
          </w:p>
        </w:tc>
        <w:tc>
          <w:tcPr>
            <w:tcW w:w="3040"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V（A）/%</w:t>
            </w:r>
          </w:p>
        </w:tc>
        <w:tc>
          <w:tcPr>
            <w:tcW w:w="3040"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V（B）/%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0.0</w:t>
            </w:r>
          </w:p>
        </w:tc>
        <w:tc>
          <w:tcPr>
            <w:tcW w:w="3040"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95</w:t>
            </w:r>
          </w:p>
        </w:tc>
        <w:tc>
          <w:tcPr>
            <w:tcW w:w="3040"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10.0</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95</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PrEx>
        <w:trPr>
          <w:jc w:val="center"/>
        </w:trPr>
        <w:tc>
          <w:tcPr>
            <w:tcW w:w="2776"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12.0</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5</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95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tcBorders>
            <w:vAlign w:val="center"/>
          </w:tcPr>
          <w:p>
            <w:pPr>
              <w:autoSpaceDE w:val="0"/>
              <w:autoSpaceDN w:val="0"/>
              <w:adjustRightInd w:val="0"/>
              <w:spacing w:line="300" w:lineRule="auto"/>
              <w:jc w:val="center"/>
              <w:rPr>
                <w:kern w:val="0"/>
                <w:szCs w:val="21"/>
              </w:rPr>
            </w:pPr>
            <w:r>
              <w:rPr>
                <w:kern w:val="0"/>
                <w:szCs w:val="21"/>
              </w:rPr>
              <w:t>15.0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5</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95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tcBorders>
            <w:vAlign w:val="center"/>
          </w:tcPr>
          <w:p>
            <w:pPr>
              <w:autoSpaceDE w:val="0"/>
              <w:autoSpaceDN w:val="0"/>
              <w:adjustRightInd w:val="0"/>
              <w:spacing w:line="300" w:lineRule="auto"/>
              <w:jc w:val="center"/>
              <w:rPr>
                <w:kern w:val="0"/>
                <w:szCs w:val="21"/>
              </w:rPr>
            </w:pPr>
            <w:r>
              <w:rPr>
                <w:kern w:val="0"/>
                <w:szCs w:val="21"/>
              </w:rPr>
              <w:t>15.1</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95</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bottom w:val="single" w:color="000000" w:sz="4" w:space="0"/>
            </w:tcBorders>
            <w:vAlign w:val="center"/>
          </w:tcPr>
          <w:p>
            <w:pPr>
              <w:autoSpaceDE w:val="0"/>
              <w:autoSpaceDN w:val="0"/>
              <w:adjustRightInd w:val="0"/>
              <w:spacing w:line="300" w:lineRule="auto"/>
              <w:jc w:val="center"/>
              <w:rPr>
                <w:kern w:val="0"/>
                <w:szCs w:val="21"/>
              </w:rPr>
            </w:pPr>
            <w:r>
              <w:rPr>
                <w:kern w:val="0"/>
                <w:szCs w:val="21"/>
              </w:rPr>
              <w:t>20.0</w:t>
            </w:r>
          </w:p>
        </w:tc>
        <w:tc>
          <w:tcPr>
            <w:tcW w:w="3040" w:type="dxa"/>
            <w:tcBorders>
              <w:top w:val="nil"/>
              <w:bottom w:val="single" w:color="000000" w:sz="4" w:space="0"/>
            </w:tcBorders>
            <w:vAlign w:val="center"/>
          </w:tcPr>
          <w:p>
            <w:pPr>
              <w:autoSpaceDE w:val="0"/>
              <w:autoSpaceDN w:val="0"/>
              <w:adjustRightInd w:val="0"/>
              <w:spacing w:line="300" w:lineRule="auto"/>
              <w:jc w:val="center"/>
              <w:rPr>
                <w:kern w:val="0"/>
                <w:szCs w:val="21"/>
              </w:rPr>
            </w:pPr>
            <w:r>
              <w:rPr>
                <w:kern w:val="0"/>
                <w:szCs w:val="21"/>
              </w:rPr>
              <w:t>95</w:t>
            </w:r>
          </w:p>
        </w:tc>
        <w:tc>
          <w:tcPr>
            <w:tcW w:w="3040" w:type="dxa"/>
            <w:tcBorders>
              <w:top w:val="nil"/>
              <w:bottom w:val="single" w:color="000000" w:sz="4" w:space="0"/>
            </w:tcBorders>
            <w:vAlign w:val="center"/>
          </w:tcPr>
          <w:p>
            <w:pPr>
              <w:autoSpaceDE w:val="0"/>
              <w:autoSpaceDN w:val="0"/>
              <w:adjustRightInd w:val="0"/>
              <w:spacing w:line="300" w:lineRule="auto"/>
              <w:jc w:val="center"/>
              <w:rPr>
                <w:kern w:val="0"/>
                <w:szCs w:val="21"/>
              </w:rPr>
            </w:pPr>
            <w:r>
              <w:rPr>
                <w:kern w:val="0"/>
                <w:szCs w:val="21"/>
              </w:rPr>
              <w:t>5</w:t>
            </w:r>
          </w:p>
        </w:tc>
      </w:tr>
    </w:tbl>
    <w:p>
      <w:pPr>
        <w:autoSpaceDE w:val="0"/>
        <w:autoSpaceDN w:val="0"/>
        <w:adjustRightInd w:val="0"/>
        <w:snapToGrid w:val="0"/>
        <w:spacing w:before="120" w:beforeLines="50" w:after="120" w:afterLines="50" w:line="300" w:lineRule="auto"/>
        <w:rPr>
          <w:kern w:val="0"/>
          <w:szCs w:val="21"/>
        </w:rPr>
      </w:pPr>
      <w:r>
        <w:rPr>
          <w:kern w:val="0"/>
          <w:szCs w:val="21"/>
        </w:rPr>
        <w:t>B.1.5  参考质谱条件（可根据仪器情况进行调整）</w:t>
      </w:r>
    </w:p>
    <w:p>
      <w:pPr>
        <w:autoSpaceDE w:val="0"/>
        <w:autoSpaceDN w:val="0"/>
        <w:adjustRightInd w:val="0"/>
        <w:snapToGrid w:val="0"/>
        <w:spacing w:before="50" w:after="50" w:line="300" w:lineRule="auto"/>
        <w:ind w:firstLine="420" w:firstLineChars="200"/>
        <w:rPr>
          <w:kern w:val="0"/>
          <w:szCs w:val="21"/>
        </w:rPr>
      </w:pPr>
      <w:r>
        <w:rPr>
          <w:kern w:val="0"/>
          <w:szCs w:val="21"/>
        </w:rPr>
        <w:t>离子源：ESI源；</w:t>
      </w:r>
    </w:p>
    <w:p>
      <w:pPr>
        <w:autoSpaceDE w:val="0"/>
        <w:autoSpaceDN w:val="0"/>
        <w:adjustRightInd w:val="0"/>
        <w:snapToGrid w:val="0"/>
        <w:spacing w:before="50" w:after="50" w:line="300" w:lineRule="auto"/>
        <w:ind w:firstLine="420" w:firstLineChars="200"/>
        <w:rPr>
          <w:kern w:val="0"/>
          <w:szCs w:val="21"/>
        </w:rPr>
      </w:pPr>
      <w:r>
        <w:rPr>
          <w:kern w:val="0"/>
          <w:szCs w:val="21"/>
        </w:rPr>
        <w:t>监测模式：负离子多反应监测模式，监测离子对及相关电压参数设定见表B.2</w:t>
      </w:r>
      <w:r>
        <w:rPr>
          <w:rFonts w:hint="eastAsia"/>
          <w:kern w:val="0"/>
          <w:szCs w:val="21"/>
        </w:rPr>
        <w:t>。</w:t>
      </w:r>
    </w:p>
    <w:p>
      <w:pPr>
        <w:autoSpaceDE w:val="0"/>
        <w:autoSpaceDN w:val="0"/>
        <w:adjustRightInd w:val="0"/>
        <w:snapToGrid w:val="0"/>
        <w:spacing w:before="120" w:beforeLines="50" w:after="120" w:afterLines="50" w:line="300" w:lineRule="auto"/>
        <w:ind w:firstLine="420"/>
        <w:jc w:val="center"/>
        <w:rPr>
          <w:rFonts w:eastAsia="黑体"/>
          <w:kern w:val="0"/>
          <w:szCs w:val="21"/>
        </w:rPr>
      </w:pPr>
    </w:p>
    <w:p>
      <w:pPr>
        <w:autoSpaceDE w:val="0"/>
        <w:autoSpaceDN w:val="0"/>
        <w:adjustRightInd w:val="0"/>
        <w:snapToGrid w:val="0"/>
        <w:spacing w:before="120" w:beforeLines="50" w:after="120" w:afterLines="50" w:line="300" w:lineRule="auto"/>
        <w:ind w:firstLine="420"/>
        <w:jc w:val="center"/>
        <w:rPr>
          <w:rFonts w:eastAsia="黑体"/>
          <w:kern w:val="0"/>
          <w:szCs w:val="21"/>
        </w:rPr>
      </w:pPr>
    </w:p>
    <w:p>
      <w:pPr>
        <w:autoSpaceDE w:val="0"/>
        <w:autoSpaceDN w:val="0"/>
        <w:adjustRightInd w:val="0"/>
        <w:snapToGrid w:val="0"/>
        <w:spacing w:before="120" w:beforeLines="50" w:after="120" w:afterLines="50" w:line="300" w:lineRule="auto"/>
        <w:ind w:firstLine="420"/>
        <w:jc w:val="center"/>
        <w:rPr>
          <w:rFonts w:eastAsia="黑体"/>
          <w:kern w:val="0"/>
          <w:szCs w:val="21"/>
        </w:rPr>
      </w:pPr>
      <w:r>
        <w:rPr>
          <w:rFonts w:eastAsia="黑体"/>
          <w:kern w:val="0"/>
          <w:szCs w:val="21"/>
        </w:rPr>
        <w:t>表B.2  质谱监测离子对及相关电压参数设定表</w:t>
      </w:r>
    </w:p>
    <w:tbl>
      <w:tblPr>
        <w:tblStyle w:val="7"/>
        <w:tblW w:w="8852" w:type="dxa"/>
        <w:jc w:val="center"/>
        <w:tblLayout w:type="fixed"/>
        <w:tblCellMar>
          <w:top w:w="0" w:type="dxa"/>
          <w:left w:w="108" w:type="dxa"/>
          <w:bottom w:w="0" w:type="dxa"/>
          <w:right w:w="108" w:type="dxa"/>
        </w:tblCellMar>
      </w:tblPr>
      <w:tblGrid>
        <w:gridCol w:w="1012"/>
        <w:gridCol w:w="2167"/>
        <w:gridCol w:w="1859"/>
        <w:gridCol w:w="2245"/>
        <w:gridCol w:w="1569"/>
      </w:tblGrid>
      <w:tr>
        <w:tblPrEx>
          <w:tblCellMar>
            <w:top w:w="0" w:type="dxa"/>
            <w:left w:w="108" w:type="dxa"/>
            <w:bottom w:w="0" w:type="dxa"/>
            <w:right w:w="108" w:type="dxa"/>
          </w:tblCellMar>
        </w:tblPrEx>
        <w:trPr>
          <w:trHeight w:val="567" w:hRule="atLeast"/>
          <w:jc w:val="center"/>
        </w:trPr>
        <w:tc>
          <w:tcPr>
            <w:tcW w:w="1012" w:type="dxa"/>
            <w:tcBorders>
              <w:top w:val="single" w:color="auto" w:sz="8" w:space="0"/>
              <w:left w:val="nil"/>
              <w:bottom w:val="single" w:color="auto" w:sz="8" w:space="0"/>
              <w:right w:val="nil"/>
            </w:tcBorders>
            <w:shd w:val="clear" w:color="auto" w:fill="auto"/>
            <w:vAlign w:val="center"/>
          </w:tcPr>
          <w:p>
            <w:pPr>
              <w:widowControl/>
              <w:jc w:val="center"/>
              <w:rPr>
                <w:color w:val="000000"/>
                <w:kern w:val="0"/>
                <w:szCs w:val="21"/>
              </w:rPr>
            </w:pPr>
            <w:r>
              <w:rPr>
                <w:color w:val="000000"/>
                <w:kern w:val="0"/>
                <w:szCs w:val="21"/>
              </w:rPr>
              <w:t>序号</w:t>
            </w:r>
          </w:p>
        </w:tc>
        <w:tc>
          <w:tcPr>
            <w:tcW w:w="2167" w:type="dxa"/>
            <w:tcBorders>
              <w:top w:val="single" w:color="auto" w:sz="8" w:space="0"/>
              <w:left w:val="nil"/>
              <w:bottom w:val="single" w:color="auto" w:sz="8" w:space="0"/>
              <w:right w:val="nil"/>
            </w:tcBorders>
            <w:shd w:val="clear" w:color="auto" w:fill="auto"/>
            <w:vAlign w:val="center"/>
          </w:tcPr>
          <w:p>
            <w:pPr>
              <w:widowControl/>
              <w:jc w:val="center"/>
              <w:rPr>
                <w:color w:val="000000"/>
                <w:kern w:val="0"/>
                <w:szCs w:val="21"/>
              </w:rPr>
            </w:pPr>
            <w:r>
              <w:rPr>
                <w:color w:val="000000"/>
                <w:kern w:val="0"/>
                <w:szCs w:val="21"/>
              </w:rPr>
              <w:t>原料名称</w:t>
            </w:r>
          </w:p>
        </w:tc>
        <w:tc>
          <w:tcPr>
            <w:tcW w:w="1859" w:type="dxa"/>
            <w:tcBorders>
              <w:top w:val="single" w:color="auto" w:sz="8" w:space="0"/>
              <w:left w:val="nil"/>
              <w:bottom w:val="single" w:color="auto" w:sz="8" w:space="0"/>
              <w:right w:val="nil"/>
            </w:tcBorders>
            <w:shd w:val="clear" w:color="auto" w:fill="auto"/>
            <w:vAlign w:val="center"/>
          </w:tcPr>
          <w:p>
            <w:pPr>
              <w:widowControl/>
              <w:jc w:val="center"/>
              <w:rPr>
                <w:color w:val="000000"/>
                <w:kern w:val="0"/>
                <w:szCs w:val="21"/>
              </w:rPr>
            </w:pPr>
            <w:r>
              <w:rPr>
                <w:color w:val="000000"/>
                <w:kern w:val="0"/>
                <w:szCs w:val="21"/>
              </w:rPr>
              <w:t>母离子（</w:t>
            </w:r>
            <w:r>
              <w:rPr>
                <w:iCs/>
                <w:color w:val="000000"/>
                <w:kern w:val="0"/>
                <w:szCs w:val="21"/>
              </w:rPr>
              <w:t>m/z</w:t>
            </w:r>
            <w:r>
              <w:rPr>
                <w:color w:val="000000"/>
                <w:kern w:val="0"/>
                <w:szCs w:val="21"/>
              </w:rPr>
              <w:t>）</w:t>
            </w:r>
          </w:p>
        </w:tc>
        <w:tc>
          <w:tcPr>
            <w:tcW w:w="2245" w:type="dxa"/>
            <w:tcBorders>
              <w:top w:val="single" w:color="auto" w:sz="8" w:space="0"/>
              <w:left w:val="nil"/>
              <w:bottom w:val="single" w:color="auto" w:sz="8" w:space="0"/>
              <w:right w:val="nil"/>
            </w:tcBorders>
            <w:shd w:val="clear" w:color="auto" w:fill="auto"/>
            <w:vAlign w:val="center"/>
          </w:tcPr>
          <w:p>
            <w:pPr>
              <w:widowControl/>
              <w:jc w:val="center"/>
              <w:rPr>
                <w:color w:val="000000"/>
                <w:kern w:val="0"/>
                <w:szCs w:val="21"/>
              </w:rPr>
            </w:pPr>
            <w:r>
              <w:rPr>
                <w:color w:val="000000"/>
                <w:kern w:val="0"/>
                <w:szCs w:val="21"/>
              </w:rPr>
              <w:t>子离子（</w:t>
            </w:r>
            <w:r>
              <w:rPr>
                <w:iCs/>
                <w:color w:val="000000"/>
                <w:kern w:val="0"/>
                <w:szCs w:val="21"/>
              </w:rPr>
              <w:t>m/z</w:t>
            </w:r>
            <w:r>
              <w:rPr>
                <w:color w:val="000000"/>
                <w:kern w:val="0"/>
                <w:szCs w:val="21"/>
              </w:rPr>
              <w:t>）</w:t>
            </w:r>
          </w:p>
        </w:tc>
        <w:tc>
          <w:tcPr>
            <w:tcW w:w="1569" w:type="dxa"/>
            <w:tcBorders>
              <w:top w:val="single" w:color="auto" w:sz="8" w:space="0"/>
              <w:left w:val="nil"/>
              <w:bottom w:val="single" w:color="auto" w:sz="8" w:space="0"/>
              <w:right w:val="nil"/>
            </w:tcBorders>
            <w:shd w:val="clear" w:color="auto" w:fill="auto"/>
            <w:vAlign w:val="center"/>
          </w:tcPr>
          <w:p>
            <w:pPr>
              <w:widowControl/>
              <w:jc w:val="center"/>
              <w:rPr>
                <w:color w:val="000000"/>
                <w:kern w:val="0"/>
                <w:szCs w:val="21"/>
              </w:rPr>
            </w:pPr>
            <w:r>
              <w:rPr>
                <w:color w:val="000000"/>
                <w:kern w:val="0"/>
                <w:szCs w:val="21"/>
              </w:rPr>
              <w:t>碰撞能量（eV）</w:t>
            </w:r>
          </w:p>
        </w:tc>
      </w:tr>
      <w:tr>
        <w:tblPrEx>
          <w:tblCellMar>
            <w:top w:w="0" w:type="dxa"/>
            <w:left w:w="108" w:type="dxa"/>
            <w:bottom w:w="0" w:type="dxa"/>
            <w:right w:w="108" w:type="dxa"/>
          </w:tblCellMar>
        </w:tblPrEx>
        <w:trPr>
          <w:trHeight w:val="290" w:hRule="atLeast"/>
          <w:jc w:val="center"/>
        </w:trPr>
        <w:tc>
          <w:tcPr>
            <w:tcW w:w="1012" w:type="dxa"/>
            <w:vMerge w:val="restart"/>
            <w:tcBorders>
              <w:top w:val="nil"/>
              <w:left w:val="nil"/>
              <w:right w:val="nil"/>
            </w:tcBorders>
            <w:shd w:val="clear" w:color="auto" w:fill="auto"/>
            <w:vAlign w:val="center"/>
          </w:tcPr>
          <w:p>
            <w:pPr>
              <w:widowControl/>
              <w:jc w:val="center"/>
              <w:rPr>
                <w:color w:val="000000"/>
                <w:kern w:val="0"/>
                <w:szCs w:val="21"/>
              </w:rPr>
            </w:pPr>
            <w:r>
              <w:rPr>
                <w:color w:val="000000"/>
                <w:kern w:val="0"/>
                <w:szCs w:val="21"/>
              </w:rPr>
              <w:t>1</w:t>
            </w:r>
          </w:p>
        </w:tc>
        <w:tc>
          <w:tcPr>
            <w:tcW w:w="2167" w:type="dxa"/>
            <w:vMerge w:val="restart"/>
            <w:tcBorders>
              <w:top w:val="nil"/>
              <w:left w:val="nil"/>
              <w:right w:val="nil"/>
            </w:tcBorders>
            <w:shd w:val="clear" w:color="auto" w:fill="auto"/>
            <w:vAlign w:val="center"/>
          </w:tcPr>
          <w:p>
            <w:pPr>
              <w:widowControl/>
              <w:jc w:val="center"/>
              <w:rPr>
                <w:color w:val="000000"/>
                <w:kern w:val="0"/>
                <w:szCs w:val="21"/>
              </w:rPr>
            </w:pPr>
            <w:r>
              <w:rPr>
                <w:color w:val="000000"/>
                <w:kern w:val="0"/>
                <w:szCs w:val="21"/>
              </w:rPr>
              <w:t>α-熊果苷</w:t>
            </w:r>
          </w:p>
        </w:tc>
        <w:tc>
          <w:tcPr>
            <w:tcW w:w="1859" w:type="dxa"/>
            <w:vMerge w:val="restart"/>
            <w:tcBorders>
              <w:top w:val="nil"/>
              <w:left w:val="nil"/>
              <w:right w:val="nil"/>
            </w:tcBorders>
            <w:shd w:val="clear" w:color="auto" w:fill="auto"/>
            <w:vAlign w:val="center"/>
          </w:tcPr>
          <w:p>
            <w:pPr>
              <w:widowControl/>
              <w:jc w:val="center"/>
              <w:rPr>
                <w:color w:val="000000"/>
                <w:kern w:val="0"/>
                <w:szCs w:val="21"/>
              </w:rPr>
            </w:pPr>
            <w:r>
              <w:rPr>
                <w:color w:val="000000"/>
                <w:kern w:val="0"/>
                <w:szCs w:val="21"/>
              </w:rPr>
              <w:t>271.0</w:t>
            </w:r>
          </w:p>
        </w:tc>
        <w:tc>
          <w:tcPr>
            <w:tcW w:w="2245" w:type="dxa"/>
            <w:tcBorders>
              <w:top w:val="nil"/>
              <w:left w:val="nil"/>
              <w:bottom w:val="nil"/>
              <w:right w:val="nil"/>
            </w:tcBorders>
            <w:shd w:val="clear" w:color="auto" w:fill="auto"/>
            <w:vAlign w:val="bottom"/>
          </w:tcPr>
          <w:p>
            <w:pPr>
              <w:widowControl/>
              <w:jc w:val="center"/>
              <w:rPr>
                <w:color w:val="000000"/>
                <w:kern w:val="0"/>
                <w:szCs w:val="21"/>
              </w:rPr>
            </w:pPr>
            <w:r>
              <w:rPr>
                <w:color w:val="000000"/>
                <w:kern w:val="0"/>
                <w:szCs w:val="21"/>
              </w:rPr>
              <w:t>151.0</w:t>
            </w:r>
          </w:p>
        </w:tc>
        <w:tc>
          <w:tcPr>
            <w:tcW w:w="1569" w:type="dxa"/>
            <w:tcBorders>
              <w:top w:val="nil"/>
              <w:left w:val="nil"/>
              <w:bottom w:val="nil"/>
              <w:right w:val="nil"/>
            </w:tcBorders>
            <w:shd w:val="clear" w:color="auto" w:fill="auto"/>
            <w:vAlign w:val="bottom"/>
          </w:tcPr>
          <w:p>
            <w:pPr>
              <w:widowControl/>
              <w:jc w:val="center"/>
              <w:rPr>
                <w:color w:val="000000"/>
                <w:kern w:val="0"/>
                <w:szCs w:val="21"/>
              </w:rPr>
            </w:pPr>
            <w:r>
              <w:rPr>
                <w:szCs w:val="21"/>
              </w:rPr>
              <w:t>−</w:t>
            </w:r>
            <w:r>
              <w:rPr>
                <w:color w:val="000000"/>
                <w:kern w:val="0"/>
                <w:szCs w:val="21"/>
              </w:rPr>
              <w:t>18</w:t>
            </w:r>
          </w:p>
        </w:tc>
      </w:tr>
      <w:tr>
        <w:tblPrEx>
          <w:tblCellMar>
            <w:top w:w="0" w:type="dxa"/>
            <w:left w:w="108" w:type="dxa"/>
            <w:bottom w:w="0" w:type="dxa"/>
            <w:right w:w="108" w:type="dxa"/>
          </w:tblCellMar>
        </w:tblPrEx>
        <w:trPr>
          <w:trHeight w:val="290" w:hRule="atLeast"/>
          <w:jc w:val="center"/>
        </w:trPr>
        <w:tc>
          <w:tcPr>
            <w:tcW w:w="1012" w:type="dxa"/>
            <w:vMerge w:val="continue"/>
            <w:tcBorders>
              <w:left w:val="nil"/>
              <w:bottom w:val="nil"/>
              <w:right w:val="nil"/>
            </w:tcBorders>
            <w:shd w:val="clear" w:color="auto" w:fill="auto"/>
            <w:vAlign w:val="bottom"/>
          </w:tcPr>
          <w:p>
            <w:pPr>
              <w:widowControl/>
              <w:jc w:val="center"/>
              <w:rPr>
                <w:color w:val="000000"/>
                <w:kern w:val="0"/>
                <w:szCs w:val="21"/>
              </w:rPr>
            </w:pPr>
          </w:p>
        </w:tc>
        <w:tc>
          <w:tcPr>
            <w:tcW w:w="2167" w:type="dxa"/>
            <w:vMerge w:val="continue"/>
            <w:tcBorders>
              <w:left w:val="nil"/>
              <w:bottom w:val="nil"/>
              <w:right w:val="nil"/>
            </w:tcBorders>
            <w:shd w:val="clear" w:color="auto" w:fill="auto"/>
            <w:vAlign w:val="bottom"/>
          </w:tcPr>
          <w:p>
            <w:pPr>
              <w:widowControl/>
              <w:jc w:val="center"/>
              <w:rPr>
                <w:color w:val="000000"/>
                <w:kern w:val="0"/>
                <w:szCs w:val="21"/>
              </w:rPr>
            </w:pPr>
          </w:p>
        </w:tc>
        <w:tc>
          <w:tcPr>
            <w:tcW w:w="1859" w:type="dxa"/>
            <w:vMerge w:val="continue"/>
            <w:tcBorders>
              <w:left w:val="nil"/>
              <w:bottom w:val="nil"/>
              <w:right w:val="nil"/>
            </w:tcBorders>
            <w:shd w:val="clear" w:color="auto" w:fill="auto"/>
            <w:vAlign w:val="bottom"/>
          </w:tcPr>
          <w:p>
            <w:pPr>
              <w:widowControl/>
              <w:jc w:val="center"/>
              <w:rPr>
                <w:color w:val="000000"/>
                <w:kern w:val="0"/>
                <w:szCs w:val="21"/>
              </w:rPr>
            </w:pPr>
          </w:p>
        </w:tc>
        <w:tc>
          <w:tcPr>
            <w:tcW w:w="2245" w:type="dxa"/>
            <w:tcBorders>
              <w:top w:val="nil"/>
              <w:left w:val="nil"/>
              <w:bottom w:val="nil"/>
              <w:right w:val="nil"/>
            </w:tcBorders>
            <w:shd w:val="clear" w:color="auto" w:fill="auto"/>
            <w:vAlign w:val="bottom"/>
          </w:tcPr>
          <w:p>
            <w:pPr>
              <w:widowControl/>
              <w:jc w:val="center"/>
              <w:rPr>
                <w:color w:val="000000"/>
                <w:kern w:val="0"/>
                <w:szCs w:val="21"/>
              </w:rPr>
            </w:pPr>
            <w:r>
              <w:rPr>
                <w:color w:val="000000"/>
                <w:kern w:val="0"/>
                <w:szCs w:val="21"/>
              </w:rPr>
              <w:t>108.0</w:t>
            </w:r>
          </w:p>
        </w:tc>
        <w:tc>
          <w:tcPr>
            <w:tcW w:w="1569" w:type="dxa"/>
            <w:tcBorders>
              <w:top w:val="nil"/>
              <w:left w:val="nil"/>
              <w:bottom w:val="nil"/>
              <w:right w:val="nil"/>
            </w:tcBorders>
            <w:shd w:val="clear" w:color="auto" w:fill="auto"/>
            <w:vAlign w:val="bottom"/>
          </w:tcPr>
          <w:p>
            <w:pPr>
              <w:widowControl/>
              <w:jc w:val="center"/>
              <w:rPr>
                <w:color w:val="000000"/>
                <w:kern w:val="0"/>
                <w:szCs w:val="21"/>
              </w:rPr>
            </w:pPr>
            <w:r>
              <w:rPr>
                <w:szCs w:val="21"/>
              </w:rPr>
              <w:t>−</w:t>
            </w:r>
            <w:r>
              <w:rPr>
                <w:color w:val="000000"/>
                <w:kern w:val="0"/>
                <w:szCs w:val="21"/>
              </w:rPr>
              <w:t>30</w:t>
            </w:r>
          </w:p>
        </w:tc>
      </w:tr>
      <w:tr>
        <w:tblPrEx>
          <w:tblCellMar>
            <w:top w:w="0" w:type="dxa"/>
            <w:left w:w="108" w:type="dxa"/>
            <w:bottom w:w="0" w:type="dxa"/>
            <w:right w:w="108" w:type="dxa"/>
          </w:tblCellMar>
        </w:tblPrEx>
        <w:trPr>
          <w:trHeight w:val="290" w:hRule="atLeast"/>
          <w:jc w:val="center"/>
        </w:trPr>
        <w:tc>
          <w:tcPr>
            <w:tcW w:w="1012" w:type="dxa"/>
            <w:vMerge w:val="restart"/>
            <w:tcBorders>
              <w:top w:val="nil"/>
              <w:left w:val="nil"/>
              <w:right w:val="nil"/>
            </w:tcBorders>
            <w:shd w:val="clear" w:color="auto" w:fill="auto"/>
            <w:vAlign w:val="center"/>
          </w:tcPr>
          <w:p>
            <w:pPr>
              <w:widowControl/>
              <w:jc w:val="center"/>
              <w:rPr>
                <w:color w:val="000000"/>
                <w:kern w:val="0"/>
                <w:szCs w:val="21"/>
              </w:rPr>
            </w:pPr>
            <w:r>
              <w:rPr>
                <w:color w:val="000000"/>
                <w:kern w:val="0"/>
                <w:szCs w:val="21"/>
              </w:rPr>
              <w:t>2</w:t>
            </w:r>
          </w:p>
        </w:tc>
        <w:tc>
          <w:tcPr>
            <w:tcW w:w="2167" w:type="dxa"/>
            <w:vMerge w:val="restart"/>
            <w:tcBorders>
              <w:top w:val="nil"/>
              <w:left w:val="nil"/>
              <w:right w:val="nil"/>
            </w:tcBorders>
            <w:shd w:val="clear" w:color="auto" w:fill="auto"/>
            <w:vAlign w:val="center"/>
          </w:tcPr>
          <w:p>
            <w:pPr>
              <w:widowControl/>
              <w:jc w:val="center"/>
              <w:rPr>
                <w:color w:val="000000"/>
                <w:kern w:val="0"/>
                <w:szCs w:val="21"/>
              </w:rPr>
            </w:pPr>
            <w:r>
              <w:rPr>
                <w:color w:val="000000"/>
                <w:kern w:val="0"/>
                <w:szCs w:val="21"/>
              </w:rPr>
              <w:t>熊果苷</w:t>
            </w:r>
          </w:p>
        </w:tc>
        <w:tc>
          <w:tcPr>
            <w:tcW w:w="1859" w:type="dxa"/>
            <w:vMerge w:val="restart"/>
            <w:tcBorders>
              <w:top w:val="nil"/>
              <w:left w:val="nil"/>
              <w:right w:val="nil"/>
            </w:tcBorders>
            <w:shd w:val="clear" w:color="auto" w:fill="auto"/>
            <w:vAlign w:val="center"/>
          </w:tcPr>
          <w:p>
            <w:pPr>
              <w:widowControl/>
              <w:jc w:val="center"/>
              <w:rPr>
                <w:color w:val="000000"/>
                <w:kern w:val="0"/>
                <w:szCs w:val="21"/>
              </w:rPr>
            </w:pPr>
            <w:r>
              <w:rPr>
                <w:color w:val="000000"/>
                <w:kern w:val="0"/>
                <w:szCs w:val="21"/>
              </w:rPr>
              <w:t>271.0</w:t>
            </w:r>
          </w:p>
        </w:tc>
        <w:tc>
          <w:tcPr>
            <w:tcW w:w="2245" w:type="dxa"/>
            <w:tcBorders>
              <w:top w:val="nil"/>
              <w:left w:val="nil"/>
              <w:bottom w:val="nil"/>
              <w:right w:val="nil"/>
            </w:tcBorders>
            <w:shd w:val="clear" w:color="auto" w:fill="auto"/>
            <w:vAlign w:val="bottom"/>
          </w:tcPr>
          <w:p>
            <w:pPr>
              <w:widowControl/>
              <w:jc w:val="center"/>
              <w:rPr>
                <w:color w:val="000000"/>
                <w:kern w:val="0"/>
                <w:szCs w:val="21"/>
              </w:rPr>
            </w:pPr>
            <w:r>
              <w:rPr>
                <w:color w:val="000000"/>
                <w:kern w:val="0"/>
                <w:szCs w:val="21"/>
              </w:rPr>
              <w:t>161.0</w:t>
            </w:r>
          </w:p>
        </w:tc>
        <w:tc>
          <w:tcPr>
            <w:tcW w:w="1569" w:type="dxa"/>
            <w:tcBorders>
              <w:top w:val="nil"/>
              <w:left w:val="nil"/>
              <w:bottom w:val="nil"/>
              <w:right w:val="nil"/>
            </w:tcBorders>
            <w:shd w:val="clear" w:color="auto" w:fill="auto"/>
            <w:vAlign w:val="bottom"/>
          </w:tcPr>
          <w:p>
            <w:pPr>
              <w:widowControl/>
              <w:jc w:val="center"/>
              <w:rPr>
                <w:color w:val="000000"/>
                <w:kern w:val="0"/>
                <w:szCs w:val="21"/>
              </w:rPr>
            </w:pPr>
            <w:r>
              <w:rPr>
                <w:szCs w:val="21"/>
              </w:rPr>
              <w:t>−</w:t>
            </w:r>
            <w:r>
              <w:rPr>
                <w:color w:val="000000"/>
                <w:kern w:val="0"/>
                <w:szCs w:val="21"/>
              </w:rPr>
              <w:t>12</w:t>
            </w:r>
          </w:p>
        </w:tc>
      </w:tr>
      <w:tr>
        <w:tblPrEx>
          <w:tblCellMar>
            <w:top w:w="0" w:type="dxa"/>
            <w:left w:w="108" w:type="dxa"/>
            <w:bottom w:w="0" w:type="dxa"/>
            <w:right w:w="108" w:type="dxa"/>
          </w:tblCellMar>
        </w:tblPrEx>
        <w:trPr>
          <w:trHeight w:val="300" w:hRule="atLeast"/>
          <w:jc w:val="center"/>
        </w:trPr>
        <w:tc>
          <w:tcPr>
            <w:tcW w:w="1012" w:type="dxa"/>
            <w:vMerge w:val="continue"/>
            <w:tcBorders>
              <w:left w:val="nil"/>
              <w:bottom w:val="single" w:color="auto" w:sz="8" w:space="0"/>
              <w:right w:val="nil"/>
            </w:tcBorders>
            <w:shd w:val="clear" w:color="auto" w:fill="auto"/>
            <w:vAlign w:val="bottom"/>
          </w:tcPr>
          <w:p>
            <w:pPr>
              <w:widowControl/>
              <w:jc w:val="center"/>
              <w:rPr>
                <w:color w:val="000000"/>
                <w:kern w:val="0"/>
                <w:szCs w:val="21"/>
              </w:rPr>
            </w:pPr>
          </w:p>
        </w:tc>
        <w:tc>
          <w:tcPr>
            <w:tcW w:w="2167" w:type="dxa"/>
            <w:vMerge w:val="continue"/>
            <w:tcBorders>
              <w:left w:val="nil"/>
              <w:bottom w:val="single" w:color="auto" w:sz="8" w:space="0"/>
              <w:right w:val="nil"/>
            </w:tcBorders>
            <w:shd w:val="clear" w:color="auto" w:fill="auto"/>
            <w:vAlign w:val="bottom"/>
          </w:tcPr>
          <w:p>
            <w:pPr>
              <w:widowControl/>
              <w:jc w:val="center"/>
              <w:rPr>
                <w:color w:val="000000"/>
                <w:kern w:val="0"/>
                <w:szCs w:val="21"/>
              </w:rPr>
            </w:pPr>
          </w:p>
        </w:tc>
        <w:tc>
          <w:tcPr>
            <w:tcW w:w="1859" w:type="dxa"/>
            <w:vMerge w:val="continue"/>
            <w:tcBorders>
              <w:left w:val="nil"/>
              <w:bottom w:val="single" w:color="auto" w:sz="8" w:space="0"/>
              <w:right w:val="nil"/>
            </w:tcBorders>
            <w:shd w:val="clear" w:color="auto" w:fill="auto"/>
            <w:vAlign w:val="bottom"/>
          </w:tcPr>
          <w:p>
            <w:pPr>
              <w:widowControl/>
              <w:jc w:val="center"/>
              <w:rPr>
                <w:color w:val="000000"/>
                <w:kern w:val="0"/>
                <w:szCs w:val="21"/>
              </w:rPr>
            </w:pPr>
          </w:p>
        </w:tc>
        <w:tc>
          <w:tcPr>
            <w:tcW w:w="2245" w:type="dxa"/>
            <w:tcBorders>
              <w:top w:val="nil"/>
              <w:left w:val="nil"/>
              <w:bottom w:val="single" w:color="auto" w:sz="8" w:space="0"/>
              <w:right w:val="nil"/>
            </w:tcBorders>
            <w:shd w:val="clear" w:color="auto" w:fill="auto"/>
            <w:vAlign w:val="bottom"/>
          </w:tcPr>
          <w:p>
            <w:pPr>
              <w:widowControl/>
              <w:jc w:val="center"/>
              <w:rPr>
                <w:color w:val="000000"/>
                <w:kern w:val="0"/>
                <w:szCs w:val="21"/>
              </w:rPr>
            </w:pPr>
            <w:r>
              <w:rPr>
                <w:color w:val="000000"/>
                <w:kern w:val="0"/>
                <w:szCs w:val="21"/>
              </w:rPr>
              <w:t>108.0</w:t>
            </w:r>
          </w:p>
        </w:tc>
        <w:tc>
          <w:tcPr>
            <w:tcW w:w="1569" w:type="dxa"/>
            <w:tcBorders>
              <w:top w:val="nil"/>
              <w:left w:val="nil"/>
              <w:bottom w:val="single" w:color="auto" w:sz="8" w:space="0"/>
              <w:right w:val="nil"/>
            </w:tcBorders>
            <w:shd w:val="clear" w:color="auto" w:fill="auto"/>
            <w:vAlign w:val="bottom"/>
          </w:tcPr>
          <w:p>
            <w:pPr>
              <w:widowControl/>
              <w:jc w:val="center"/>
              <w:rPr>
                <w:color w:val="000000"/>
                <w:kern w:val="0"/>
                <w:szCs w:val="21"/>
              </w:rPr>
            </w:pPr>
            <w:r>
              <w:rPr>
                <w:szCs w:val="21"/>
              </w:rPr>
              <w:t>−</w:t>
            </w:r>
            <w:r>
              <w:rPr>
                <w:color w:val="000000"/>
                <w:kern w:val="0"/>
                <w:szCs w:val="21"/>
              </w:rPr>
              <w:t>24</w:t>
            </w:r>
          </w:p>
        </w:tc>
      </w:tr>
    </w:tbl>
    <w:p>
      <w:pPr>
        <w:autoSpaceDE w:val="0"/>
        <w:autoSpaceDN w:val="0"/>
        <w:adjustRightInd w:val="0"/>
        <w:snapToGrid w:val="0"/>
        <w:spacing w:before="120" w:beforeLines="50" w:after="120" w:afterLines="50" w:line="300" w:lineRule="auto"/>
        <w:rPr>
          <w:kern w:val="0"/>
          <w:szCs w:val="21"/>
        </w:rPr>
      </w:pPr>
      <w:r>
        <w:rPr>
          <w:kern w:val="0"/>
          <w:szCs w:val="21"/>
        </w:rPr>
        <w:t>B.1.6  定性判定</w:t>
      </w:r>
    </w:p>
    <w:p>
      <w:pPr>
        <w:tabs>
          <w:tab w:val="left" w:pos="5745"/>
        </w:tabs>
        <w:snapToGrid w:val="0"/>
        <w:spacing w:before="50" w:after="120" w:afterLines="50" w:line="300" w:lineRule="auto"/>
        <w:ind w:firstLine="420" w:firstLineChars="200"/>
        <w:rPr>
          <w:szCs w:val="21"/>
        </w:rPr>
      </w:pPr>
      <w:r>
        <w:rPr>
          <w:szCs w:val="21"/>
        </w:rPr>
        <w:t>用液相色谱-串联质谱法对样品进行定性判定，在相同试验条件下，样品中应呈现两个监测离子的色谱峰，样品中各离子的保留时间应与相应标准溶液中各离子的保留时间一致；样品色谱图中所选择的监测离子的相对丰度比与相当浓度标准溶液的离子相对丰度比的偏差不超过表B.3规定范围，则可以判断样品中存在相应待测物。</w:t>
      </w:r>
    </w:p>
    <w:p>
      <w:pPr>
        <w:snapToGrid w:val="0"/>
        <w:spacing w:before="120" w:beforeLines="50" w:after="120" w:afterLines="50" w:line="300" w:lineRule="auto"/>
        <w:jc w:val="center"/>
        <w:rPr>
          <w:rFonts w:eastAsia="黑体"/>
          <w:bCs/>
          <w:szCs w:val="21"/>
        </w:rPr>
      </w:pPr>
      <w:r>
        <w:rPr>
          <w:rFonts w:eastAsia="黑体"/>
          <w:bCs/>
          <w:szCs w:val="21"/>
        </w:rPr>
        <w:t>表B.3  定性确证时相对离子丰度的最大允许偏差</w:t>
      </w:r>
    </w:p>
    <w:tbl>
      <w:tblPr>
        <w:tblStyle w:val="7"/>
        <w:tblW w:w="8856"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30"/>
        <w:gridCol w:w="1119"/>
        <w:gridCol w:w="1858"/>
        <w:gridCol w:w="1858"/>
        <w:gridCol w:w="159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30" w:type="dxa"/>
            <w:vAlign w:val="center"/>
          </w:tcPr>
          <w:p>
            <w:pPr>
              <w:tabs>
                <w:tab w:val="left" w:pos="5745"/>
              </w:tabs>
              <w:spacing w:line="300" w:lineRule="auto"/>
              <w:jc w:val="center"/>
              <w:rPr>
                <w:szCs w:val="21"/>
              </w:rPr>
            </w:pPr>
            <w:r>
              <w:rPr>
                <w:szCs w:val="21"/>
              </w:rPr>
              <w:t>相对离子丰度（k）</w:t>
            </w:r>
          </w:p>
        </w:tc>
        <w:tc>
          <w:tcPr>
            <w:tcW w:w="1119" w:type="dxa"/>
            <w:vAlign w:val="center"/>
          </w:tcPr>
          <w:p>
            <w:pPr>
              <w:tabs>
                <w:tab w:val="left" w:pos="5745"/>
              </w:tabs>
              <w:spacing w:line="300" w:lineRule="auto"/>
              <w:jc w:val="center"/>
              <w:rPr>
                <w:szCs w:val="21"/>
              </w:rPr>
            </w:pPr>
            <w:r>
              <w:rPr>
                <w:szCs w:val="21"/>
              </w:rPr>
              <w:t>k&gt;50%</w:t>
            </w:r>
          </w:p>
        </w:tc>
        <w:tc>
          <w:tcPr>
            <w:tcW w:w="1858" w:type="dxa"/>
            <w:vAlign w:val="center"/>
          </w:tcPr>
          <w:p>
            <w:pPr>
              <w:tabs>
                <w:tab w:val="left" w:pos="5745"/>
              </w:tabs>
              <w:spacing w:line="300" w:lineRule="auto"/>
              <w:jc w:val="center"/>
              <w:rPr>
                <w:szCs w:val="21"/>
              </w:rPr>
            </w:pPr>
            <w:r>
              <w:rPr>
                <w:szCs w:val="21"/>
              </w:rPr>
              <w:t>50%≥k&gt;20%</w:t>
            </w:r>
          </w:p>
        </w:tc>
        <w:tc>
          <w:tcPr>
            <w:tcW w:w="1858" w:type="dxa"/>
            <w:vAlign w:val="center"/>
          </w:tcPr>
          <w:p>
            <w:pPr>
              <w:tabs>
                <w:tab w:val="left" w:pos="5745"/>
              </w:tabs>
              <w:spacing w:line="300" w:lineRule="auto"/>
              <w:jc w:val="center"/>
              <w:rPr>
                <w:szCs w:val="21"/>
              </w:rPr>
            </w:pPr>
            <w:r>
              <w:rPr>
                <w:szCs w:val="21"/>
              </w:rPr>
              <w:t>20%≥k&gt;10%</w:t>
            </w:r>
          </w:p>
        </w:tc>
        <w:tc>
          <w:tcPr>
            <w:tcW w:w="1591" w:type="dxa"/>
            <w:vAlign w:val="center"/>
          </w:tcPr>
          <w:p>
            <w:pPr>
              <w:tabs>
                <w:tab w:val="left" w:pos="5745"/>
              </w:tabs>
              <w:spacing w:line="300" w:lineRule="auto"/>
              <w:jc w:val="center"/>
              <w:rPr>
                <w:szCs w:val="21"/>
              </w:rPr>
            </w:pPr>
            <w:r>
              <w:rPr>
                <w:szCs w:val="21"/>
              </w:rPr>
              <w:t>k≤10%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8" w:hRule="atLeast"/>
          <w:jc w:val="center"/>
        </w:trPr>
        <w:tc>
          <w:tcPr>
            <w:tcW w:w="2430" w:type="dxa"/>
            <w:vAlign w:val="center"/>
          </w:tcPr>
          <w:p>
            <w:pPr>
              <w:tabs>
                <w:tab w:val="left" w:pos="5745"/>
              </w:tabs>
              <w:spacing w:line="300" w:lineRule="auto"/>
              <w:jc w:val="center"/>
              <w:rPr>
                <w:szCs w:val="21"/>
              </w:rPr>
            </w:pPr>
            <w:r>
              <w:rPr>
                <w:szCs w:val="21"/>
              </w:rPr>
              <w:t>允许的最大偏差</w:t>
            </w:r>
          </w:p>
        </w:tc>
        <w:tc>
          <w:tcPr>
            <w:tcW w:w="1119" w:type="dxa"/>
            <w:vAlign w:val="center"/>
          </w:tcPr>
          <w:p>
            <w:pPr>
              <w:tabs>
                <w:tab w:val="left" w:pos="5745"/>
              </w:tabs>
              <w:spacing w:line="300" w:lineRule="auto"/>
              <w:jc w:val="center"/>
              <w:rPr>
                <w:szCs w:val="21"/>
              </w:rPr>
            </w:pPr>
            <w:r>
              <w:rPr>
                <w:szCs w:val="21"/>
              </w:rPr>
              <w:t>±20%</w:t>
            </w:r>
          </w:p>
        </w:tc>
        <w:tc>
          <w:tcPr>
            <w:tcW w:w="1858" w:type="dxa"/>
            <w:vAlign w:val="center"/>
          </w:tcPr>
          <w:p>
            <w:pPr>
              <w:tabs>
                <w:tab w:val="left" w:pos="5745"/>
              </w:tabs>
              <w:spacing w:line="300" w:lineRule="auto"/>
              <w:jc w:val="center"/>
              <w:rPr>
                <w:szCs w:val="21"/>
              </w:rPr>
            </w:pPr>
            <w:r>
              <w:rPr>
                <w:szCs w:val="21"/>
              </w:rPr>
              <w:t>±25%</w:t>
            </w:r>
          </w:p>
        </w:tc>
        <w:tc>
          <w:tcPr>
            <w:tcW w:w="1858" w:type="dxa"/>
            <w:vAlign w:val="center"/>
          </w:tcPr>
          <w:p>
            <w:pPr>
              <w:tabs>
                <w:tab w:val="left" w:pos="5745"/>
              </w:tabs>
              <w:spacing w:line="300" w:lineRule="auto"/>
              <w:jc w:val="center"/>
              <w:rPr>
                <w:szCs w:val="21"/>
              </w:rPr>
            </w:pPr>
            <w:r>
              <w:rPr>
                <w:szCs w:val="21"/>
              </w:rPr>
              <w:t>±30%</w:t>
            </w:r>
          </w:p>
        </w:tc>
        <w:tc>
          <w:tcPr>
            <w:tcW w:w="1591" w:type="dxa"/>
            <w:vAlign w:val="center"/>
          </w:tcPr>
          <w:p>
            <w:pPr>
              <w:tabs>
                <w:tab w:val="left" w:pos="5745"/>
              </w:tabs>
              <w:spacing w:line="300" w:lineRule="auto"/>
              <w:jc w:val="center"/>
              <w:rPr>
                <w:szCs w:val="21"/>
              </w:rPr>
            </w:pPr>
            <w:r>
              <w:rPr>
                <w:szCs w:val="21"/>
              </w:rPr>
              <w:t>±50%</w:t>
            </w:r>
          </w:p>
        </w:tc>
      </w:tr>
    </w:tbl>
    <w:p>
      <w:pPr>
        <w:autoSpaceDE w:val="0"/>
        <w:autoSpaceDN w:val="0"/>
        <w:adjustRightInd w:val="0"/>
        <w:snapToGrid w:val="0"/>
        <w:spacing w:before="120" w:beforeLines="50" w:after="120" w:afterLines="50" w:line="300" w:lineRule="auto"/>
        <w:rPr>
          <w:rFonts w:eastAsia="黑体"/>
          <w:b/>
          <w:kern w:val="0"/>
          <w:szCs w:val="21"/>
        </w:rPr>
      </w:pPr>
      <w:r>
        <w:rPr>
          <w:rFonts w:eastAsia="黑体"/>
          <w:kern w:val="0"/>
          <w:szCs w:val="21"/>
        </w:rPr>
        <w:t>B.1.7  图谱</w:t>
      </w:r>
    </w:p>
    <w:p>
      <w:pPr>
        <w:autoSpaceDE w:val="0"/>
        <w:autoSpaceDN w:val="0"/>
        <w:adjustRightInd w:val="0"/>
        <w:spacing w:line="300" w:lineRule="auto"/>
        <w:jc w:val="center"/>
        <w:rPr>
          <w:b/>
          <w:kern w:val="0"/>
          <w:szCs w:val="21"/>
        </w:rPr>
      </w:pPr>
      <w:r>
        <w:rPr>
          <w:b/>
          <w:kern w:val="0"/>
          <w:szCs w:val="21"/>
        </w:rPr>
        <w:drawing>
          <wp:inline distT="0" distB="0" distL="0" distR="0">
            <wp:extent cx="3105785" cy="1885950"/>
            <wp:effectExtent l="19050" t="0" r="0" b="0"/>
            <wp:docPr id="724" name="图片 3" descr="图形用户界面&#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4" name="图片 3" descr="图形用户界面&#10;&#10;描述已自动生成"/>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3106858" cy="1886920"/>
                    </a:xfrm>
                    <a:prstGeom prst="rect">
                      <a:avLst/>
                    </a:prstGeom>
                    <a:noFill/>
                    <a:ln>
                      <a:noFill/>
                    </a:ln>
                  </pic:spPr>
                </pic:pic>
              </a:graphicData>
            </a:graphic>
          </wp:inline>
        </w:drawing>
      </w:r>
    </w:p>
    <w:p>
      <w:pPr>
        <w:autoSpaceDE w:val="0"/>
        <w:autoSpaceDN w:val="0"/>
        <w:adjustRightInd w:val="0"/>
        <w:snapToGrid w:val="0"/>
        <w:spacing w:before="120" w:beforeLines="50" w:after="120" w:afterLines="50" w:line="300" w:lineRule="auto"/>
        <w:jc w:val="center"/>
        <w:rPr>
          <w:rFonts w:eastAsia="黑体"/>
          <w:kern w:val="0"/>
          <w:szCs w:val="21"/>
        </w:rPr>
      </w:pPr>
      <w:r>
        <w:rPr>
          <w:rFonts w:eastAsia="黑体"/>
          <w:kern w:val="0"/>
          <w:szCs w:val="21"/>
        </w:rPr>
        <w:t>图B.1  α-熊果苷、熊果苷混合标准溶液</w:t>
      </w:r>
      <w:r>
        <w:rPr>
          <w:rFonts w:hint="eastAsia" w:eastAsia="黑体"/>
          <w:bCs/>
          <w:szCs w:val="21"/>
        </w:rPr>
        <w:t>HPLC-MS/MS色谱</w:t>
      </w:r>
      <w:r>
        <w:rPr>
          <w:rFonts w:eastAsia="黑体"/>
          <w:bCs/>
          <w:szCs w:val="21"/>
        </w:rPr>
        <w:t>图</w:t>
      </w:r>
    </w:p>
    <w:p>
      <w:pPr>
        <w:autoSpaceDE w:val="0"/>
        <w:autoSpaceDN w:val="0"/>
        <w:adjustRightInd w:val="0"/>
        <w:snapToGrid w:val="0"/>
        <w:spacing w:before="50" w:after="50" w:line="300" w:lineRule="auto"/>
        <w:jc w:val="center"/>
        <w:rPr>
          <w:kern w:val="0"/>
          <w:sz w:val="18"/>
          <w:szCs w:val="21"/>
        </w:rPr>
      </w:pPr>
      <w:r>
        <w:rPr>
          <w:kern w:val="0"/>
          <w:sz w:val="18"/>
          <w:szCs w:val="21"/>
        </w:rPr>
        <w:t>1：熊果苷；2：α-熊果苷</w:t>
      </w:r>
    </w:p>
    <w:p>
      <w:pPr>
        <w:autoSpaceDE w:val="0"/>
        <w:autoSpaceDN w:val="0"/>
        <w:adjustRightInd w:val="0"/>
        <w:snapToGrid w:val="0"/>
        <w:spacing w:before="120" w:beforeLines="50" w:after="120" w:afterLines="50" w:line="300" w:lineRule="auto"/>
        <w:rPr>
          <w:rFonts w:eastAsia="黑体"/>
          <w:kern w:val="0"/>
          <w:szCs w:val="21"/>
        </w:rPr>
      </w:pPr>
      <w:r>
        <w:rPr>
          <w:rFonts w:eastAsia="黑体"/>
          <w:kern w:val="0"/>
          <w:szCs w:val="21"/>
        </w:rPr>
        <w:t>B.2  氢醌的液相色谱-串联质谱法确证</w:t>
      </w:r>
    </w:p>
    <w:p>
      <w:pPr>
        <w:autoSpaceDE w:val="0"/>
        <w:autoSpaceDN w:val="0"/>
        <w:adjustRightInd w:val="0"/>
        <w:snapToGrid w:val="0"/>
        <w:spacing w:before="120" w:beforeLines="50" w:after="120" w:afterLines="50" w:line="300" w:lineRule="auto"/>
        <w:rPr>
          <w:kern w:val="0"/>
          <w:szCs w:val="21"/>
        </w:rPr>
      </w:pPr>
      <w:r>
        <w:rPr>
          <w:kern w:val="0"/>
          <w:szCs w:val="21"/>
        </w:rPr>
        <w:t>B.2.1  试剂和材料</w:t>
      </w:r>
    </w:p>
    <w:p>
      <w:pPr>
        <w:autoSpaceDE w:val="0"/>
        <w:autoSpaceDN w:val="0"/>
        <w:adjustRightInd w:val="0"/>
        <w:snapToGrid w:val="0"/>
        <w:spacing w:before="50" w:after="50" w:line="300" w:lineRule="auto"/>
        <w:rPr>
          <w:kern w:val="0"/>
          <w:szCs w:val="21"/>
        </w:rPr>
      </w:pPr>
      <w:r>
        <w:rPr>
          <w:kern w:val="0"/>
          <w:szCs w:val="21"/>
        </w:rPr>
        <w:t>B.2.1.1  甲醇（色谱纯）。</w:t>
      </w:r>
    </w:p>
    <w:p>
      <w:pPr>
        <w:autoSpaceDE w:val="0"/>
        <w:autoSpaceDN w:val="0"/>
        <w:adjustRightInd w:val="0"/>
        <w:snapToGrid w:val="0"/>
        <w:spacing w:before="50" w:after="50" w:line="300" w:lineRule="auto"/>
        <w:rPr>
          <w:kern w:val="0"/>
          <w:szCs w:val="21"/>
        </w:rPr>
      </w:pPr>
      <w:r>
        <w:rPr>
          <w:kern w:val="0"/>
          <w:szCs w:val="21"/>
        </w:rPr>
        <w:t>B.2.1.2  维生素C。</w:t>
      </w:r>
    </w:p>
    <w:p>
      <w:pPr>
        <w:autoSpaceDE w:val="0"/>
        <w:autoSpaceDN w:val="0"/>
        <w:adjustRightInd w:val="0"/>
        <w:snapToGrid w:val="0"/>
        <w:spacing w:before="50" w:after="50" w:line="300" w:lineRule="auto"/>
        <w:rPr>
          <w:kern w:val="0"/>
          <w:szCs w:val="21"/>
        </w:rPr>
      </w:pPr>
      <w:r>
        <w:rPr>
          <w:kern w:val="0"/>
          <w:szCs w:val="21"/>
        </w:rPr>
        <w:t>B.2.1.3  氯化钠。</w:t>
      </w:r>
    </w:p>
    <w:p>
      <w:pPr>
        <w:autoSpaceDE w:val="0"/>
        <w:autoSpaceDN w:val="0"/>
        <w:adjustRightInd w:val="0"/>
        <w:snapToGrid w:val="0"/>
        <w:spacing w:before="50" w:after="50" w:line="300" w:lineRule="auto"/>
        <w:rPr>
          <w:kern w:val="0"/>
          <w:szCs w:val="21"/>
        </w:rPr>
      </w:pPr>
      <w:r>
        <w:rPr>
          <w:kern w:val="0"/>
          <w:szCs w:val="21"/>
        </w:rPr>
        <w:t>B.2.1.4  固相萃取小柱（60 mg/3 mL），吸附剂为含吡咯烷酮基的聚苯乙烯/二乙烯基苯共聚物。</w:t>
      </w:r>
    </w:p>
    <w:p>
      <w:pPr>
        <w:autoSpaceDE w:val="0"/>
        <w:autoSpaceDN w:val="0"/>
        <w:adjustRightInd w:val="0"/>
        <w:snapToGrid w:val="0"/>
        <w:spacing w:before="50" w:after="50" w:line="300" w:lineRule="auto"/>
        <w:rPr>
          <w:kern w:val="0"/>
          <w:szCs w:val="21"/>
        </w:rPr>
      </w:pPr>
      <w:r>
        <w:rPr>
          <w:kern w:val="0"/>
          <w:szCs w:val="21"/>
        </w:rPr>
        <w:t>B.2.1.5  微孔滤膜（0.22 μm）。</w:t>
      </w:r>
    </w:p>
    <w:p>
      <w:pPr>
        <w:autoSpaceDE w:val="0"/>
        <w:autoSpaceDN w:val="0"/>
        <w:adjustRightInd w:val="0"/>
        <w:snapToGrid w:val="0"/>
        <w:spacing w:before="50" w:after="50" w:line="300" w:lineRule="auto"/>
        <w:rPr>
          <w:kern w:val="0"/>
          <w:szCs w:val="21"/>
        </w:rPr>
      </w:pPr>
      <w:r>
        <w:rPr>
          <w:kern w:val="0"/>
          <w:szCs w:val="21"/>
        </w:rPr>
        <w:t>B.2.1.6  进样小瓶内衬管。</w:t>
      </w:r>
    </w:p>
    <w:p>
      <w:pPr>
        <w:autoSpaceDE w:val="0"/>
        <w:autoSpaceDN w:val="0"/>
        <w:adjustRightInd w:val="0"/>
        <w:snapToGrid w:val="0"/>
        <w:spacing w:before="50" w:after="50" w:line="300" w:lineRule="auto"/>
        <w:rPr>
          <w:kern w:val="0"/>
          <w:szCs w:val="21"/>
        </w:rPr>
      </w:pPr>
      <w:r>
        <w:rPr>
          <w:kern w:val="0"/>
          <w:szCs w:val="21"/>
        </w:rPr>
        <w:t>B.2.1.7  15%甲醇溶液：量取甲醇（B.2.1.1）15 mL，用水稀释至100 mL。</w:t>
      </w:r>
    </w:p>
    <w:p>
      <w:pPr>
        <w:autoSpaceDE w:val="0"/>
        <w:autoSpaceDN w:val="0"/>
        <w:adjustRightInd w:val="0"/>
        <w:snapToGrid w:val="0"/>
        <w:spacing w:before="50" w:after="50" w:line="300" w:lineRule="auto"/>
        <w:rPr>
          <w:kern w:val="0"/>
          <w:szCs w:val="21"/>
        </w:rPr>
      </w:pPr>
      <w:r>
        <w:rPr>
          <w:kern w:val="0"/>
          <w:szCs w:val="21"/>
        </w:rPr>
        <w:t>B.2.1.8  维生素C溶液：取维生素C（B.2.1.2）适量，用水溶解并配成浓度为100 mg/mL的溶液。</w:t>
      </w:r>
    </w:p>
    <w:p>
      <w:pPr>
        <w:autoSpaceDE w:val="0"/>
        <w:autoSpaceDN w:val="0"/>
        <w:adjustRightInd w:val="0"/>
        <w:snapToGrid w:val="0"/>
        <w:spacing w:before="50" w:after="50" w:line="300" w:lineRule="auto"/>
        <w:rPr>
          <w:kern w:val="0"/>
          <w:szCs w:val="21"/>
        </w:rPr>
      </w:pPr>
      <w:r>
        <w:rPr>
          <w:kern w:val="0"/>
          <w:szCs w:val="21"/>
        </w:rPr>
        <w:t>B.2.2  仪器和设备</w:t>
      </w:r>
    </w:p>
    <w:p>
      <w:pPr>
        <w:autoSpaceDE w:val="0"/>
        <w:autoSpaceDN w:val="0"/>
        <w:adjustRightInd w:val="0"/>
        <w:snapToGrid w:val="0"/>
        <w:spacing w:before="50" w:after="50" w:line="300" w:lineRule="auto"/>
        <w:rPr>
          <w:kern w:val="0"/>
          <w:szCs w:val="21"/>
        </w:rPr>
      </w:pPr>
      <w:r>
        <w:rPr>
          <w:kern w:val="0"/>
          <w:szCs w:val="21"/>
        </w:rPr>
        <w:t>B.2.2.1  液相色谱-串联质谱联用仪，带电喷雾离子源（ESI源）。</w:t>
      </w:r>
    </w:p>
    <w:p>
      <w:pPr>
        <w:autoSpaceDE w:val="0"/>
        <w:autoSpaceDN w:val="0"/>
        <w:adjustRightInd w:val="0"/>
        <w:snapToGrid w:val="0"/>
        <w:spacing w:before="50" w:after="50" w:line="300" w:lineRule="auto"/>
        <w:rPr>
          <w:kern w:val="0"/>
          <w:szCs w:val="21"/>
        </w:rPr>
      </w:pPr>
      <w:r>
        <w:rPr>
          <w:kern w:val="0"/>
          <w:szCs w:val="21"/>
        </w:rPr>
        <w:t>B.2.2.2  旋转蒸发仪。</w:t>
      </w:r>
    </w:p>
    <w:p>
      <w:pPr>
        <w:autoSpaceDE w:val="0"/>
        <w:autoSpaceDN w:val="0"/>
        <w:adjustRightInd w:val="0"/>
        <w:snapToGrid w:val="0"/>
        <w:spacing w:before="50" w:after="50" w:line="300" w:lineRule="auto"/>
        <w:rPr>
          <w:kern w:val="0"/>
          <w:szCs w:val="21"/>
        </w:rPr>
      </w:pPr>
      <w:r>
        <w:rPr>
          <w:kern w:val="0"/>
          <w:szCs w:val="21"/>
        </w:rPr>
        <w:t>B.2.2.3  高速离心机，转速不低于14000 r/min。</w:t>
      </w:r>
    </w:p>
    <w:p>
      <w:pPr>
        <w:autoSpaceDE w:val="0"/>
        <w:autoSpaceDN w:val="0"/>
        <w:adjustRightInd w:val="0"/>
        <w:snapToGrid w:val="0"/>
        <w:spacing w:before="50" w:after="50" w:line="300" w:lineRule="auto"/>
        <w:rPr>
          <w:kern w:val="0"/>
          <w:szCs w:val="21"/>
        </w:rPr>
      </w:pPr>
      <w:r>
        <w:rPr>
          <w:kern w:val="0"/>
          <w:szCs w:val="21"/>
        </w:rPr>
        <w:t>B.2.3  样品处理</w:t>
      </w:r>
    </w:p>
    <w:p>
      <w:pPr>
        <w:autoSpaceDE w:val="0"/>
        <w:autoSpaceDN w:val="0"/>
        <w:adjustRightInd w:val="0"/>
        <w:snapToGrid w:val="0"/>
        <w:spacing w:before="120" w:beforeLines="50" w:after="120" w:afterLines="50" w:line="300" w:lineRule="auto"/>
        <w:ind w:firstLine="420" w:firstLineChars="200"/>
        <w:rPr>
          <w:kern w:val="0"/>
          <w:szCs w:val="21"/>
        </w:rPr>
      </w:pPr>
      <w:r>
        <w:rPr>
          <w:kern w:val="0"/>
          <w:szCs w:val="21"/>
        </w:rPr>
        <w:t xml:space="preserve">称取样品1.0 g，准确加入15%甲醇溶液（B.2.1.7）10 mL、维生素C溶液（B.2.1.8）0.2 mL，涡旋振荡1 min，再加入氯化钠（B.2.1.3）2 g，涡旋振荡1 min，离心（转速14000 r/min）15 min，取5 mL上清液，待净化。取固相萃取小柱（B.2.1.4），依次预先用甲醇（B.2.1.1）3 mL、水10 mL进行活化。将待净化液倒入小柱中，自然流尽后，用10 mL水清洗小柱，待清洗液自然流尽后，加甲醇（B.2.1.1）6 mL洗脱，收集洗脱液于尖底烧瓶中，用旋转蒸发仪（水浴温度35 </w:t>
      </w:r>
      <w:r>
        <w:rPr>
          <w:rFonts w:hint="eastAsia" w:ascii="宋体" w:hAnsi="宋体" w:cs="宋体"/>
          <w:kern w:val="0"/>
          <w:szCs w:val="21"/>
        </w:rPr>
        <w:t>℃</w:t>
      </w:r>
      <w:r>
        <w:rPr>
          <w:kern w:val="0"/>
          <w:szCs w:val="21"/>
        </w:rPr>
        <w:t>）减压浓缩至近干，加甲醇（B.2.1.1）0.2 mL，涡旋振荡30 s，用微孔滤膜（B.2.1.5）过滤至内衬管中（B.2.1.6），作为待测溶液。</w:t>
      </w:r>
    </w:p>
    <w:p>
      <w:pPr>
        <w:autoSpaceDE w:val="0"/>
        <w:autoSpaceDN w:val="0"/>
        <w:adjustRightInd w:val="0"/>
        <w:snapToGrid w:val="0"/>
        <w:spacing w:before="120" w:beforeLines="50" w:after="120" w:afterLines="50" w:line="300" w:lineRule="auto"/>
        <w:rPr>
          <w:kern w:val="0"/>
          <w:szCs w:val="21"/>
        </w:rPr>
      </w:pPr>
      <w:r>
        <w:rPr>
          <w:kern w:val="0"/>
          <w:szCs w:val="21"/>
        </w:rPr>
        <w:t>B.2.4  参考色谱条件</w:t>
      </w:r>
    </w:p>
    <w:p>
      <w:pPr>
        <w:autoSpaceDE w:val="0"/>
        <w:autoSpaceDN w:val="0"/>
        <w:adjustRightInd w:val="0"/>
        <w:snapToGrid w:val="0"/>
        <w:spacing w:before="50" w:after="50" w:line="300" w:lineRule="auto"/>
        <w:ind w:firstLine="420" w:firstLineChars="200"/>
        <w:rPr>
          <w:kern w:val="0"/>
          <w:szCs w:val="21"/>
        </w:rPr>
      </w:pPr>
      <w:r>
        <w:rPr>
          <w:kern w:val="0"/>
          <w:szCs w:val="21"/>
        </w:rPr>
        <w:t>色谱柱：C</w:t>
      </w:r>
      <w:r>
        <w:rPr>
          <w:kern w:val="0"/>
          <w:szCs w:val="21"/>
          <w:vertAlign w:val="subscript"/>
        </w:rPr>
        <w:t>18</w:t>
      </w:r>
      <w:r>
        <w:rPr>
          <w:kern w:val="0"/>
          <w:szCs w:val="21"/>
        </w:rPr>
        <w:t>柱（4.6 mm×100</w:t>
      </w:r>
      <w:r>
        <w:rPr>
          <w:rFonts w:hint="eastAsia"/>
          <w:kern w:val="0"/>
          <w:szCs w:val="21"/>
        </w:rPr>
        <w:t xml:space="preserve"> </w:t>
      </w:r>
      <w:r>
        <w:rPr>
          <w:kern w:val="0"/>
          <w:szCs w:val="21"/>
        </w:rPr>
        <w:t>mm</w:t>
      </w:r>
      <w:r>
        <w:rPr>
          <w:rFonts w:hint="eastAsia"/>
          <w:kern w:val="0"/>
          <w:szCs w:val="21"/>
        </w:rPr>
        <w:t>，</w:t>
      </w:r>
      <w:r>
        <w:rPr>
          <w:kern w:val="0"/>
          <w:szCs w:val="21"/>
        </w:rPr>
        <w:t>2.7 μm），或等效色谱柱；</w:t>
      </w:r>
    </w:p>
    <w:p>
      <w:pPr>
        <w:autoSpaceDE w:val="0"/>
        <w:autoSpaceDN w:val="0"/>
        <w:adjustRightInd w:val="0"/>
        <w:snapToGrid w:val="0"/>
        <w:spacing w:before="50" w:after="50" w:line="300" w:lineRule="auto"/>
        <w:ind w:firstLine="420" w:firstLineChars="200"/>
        <w:rPr>
          <w:kern w:val="0"/>
          <w:szCs w:val="21"/>
        </w:rPr>
      </w:pPr>
      <w:r>
        <w:rPr>
          <w:kern w:val="0"/>
          <w:szCs w:val="21"/>
        </w:rPr>
        <w:t xml:space="preserve">柱温：20 </w:t>
      </w:r>
      <w:r>
        <w:rPr>
          <w:rFonts w:hint="eastAsia" w:ascii="宋体" w:hAnsi="宋体" w:cs="宋体"/>
          <w:kern w:val="0"/>
          <w:szCs w:val="21"/>
        </w:rPr>
        <w:t>℃</w:t>
      </w:r>
      <w:r>
        <w:rPr>
          <w:kern w:val="0"/>
          <w:szCs w:val="21"/>
        </w:rPr>
        <w:t>；</w:t>
      </w:r>
    </w:p>
    <w:p>
      <w:pPr>
        <w:autoSpaceDE w:val="0"/>
        <w:autoSpaceDN w:val="0"/>
        <w:adjustRightInd w:val="0"/>
        <w:snapToGrid w:val="0"/>
        <w:spacing w:before="50" w:after="50" w:line="300" w:lineRule="auto"/>
        <w:ind w:firstLine="420" w:firstLineChars="200"/>
        <w:rPr>
          <w:kern w:val="0"/>
          <w:szCs w:val="21"/>
        </w:rPr>
      </w:pPr>
      <w:r>
        <w:rPr>
          <w:kern w:val="0"/>
          <w:szCs w:val="21"/>
        </w:rPr>
        <w:t>进样量：5 μL；</w:t>
      </w:r>
    </w:p>
    <w:p>
      <w:pPr>
        <w:autoSpaceDE w:val="0"/>
        <w:autoSpaceDN w:val="0"/>
        <w:adjustRightInd w:val="0"/>
        <w:snapToGrid w:val="0"/>
        <w:spacing w:before="50" w:after="50" w:line="300" w:lineRule="auto"/>
        <w:ind w:firstLine="420" w:firstLineChars="200"/>
        <w:rPr>
          <w:kern w:val="0"/>
          <w:szCs w:val="21"/>
        </w:rPr>
      </w:pPr>
      <w:r>
        <w:rPr>
          <w:kern w:val="0"/>
          <w:szCs w:val="21"/>
        </w:rPr>
        <w:t>流动相：A：水，B：甲醇；梯度洗脱程序详见表B.4；</w:t>
      </w:r>
    </w:p>
    <w:p>
      <w:pPr>
        <w:autoSpaceDE w:val="0"/>
        <w:autoSpaceDN w:val="0"/>
        <w:adjustRightInd w:val="0"/>
        <w:snapToGrid w:val="0"/>
        <w:spacing w:before="50" w:after="50" w:line="300" w:lineRule="auto"/>
        <w:ind w:firstLine="420" w:firstLineChars="200"/>
        <w:rPr>
          <w:kern w:val="0"/>
          <w:szCs w:val="21"/>
        </w:rPr>
      </w:pPr>
      <w:r>
        <w:rPr>
          <w:kern w:val="0"/>
          <w:szCs w:val="21"/>
        </w:rPr>
        <w:t>流速：0.2 mL/min。</w:t>
      </w:r>
    </w:p>
    <w:p>
      <w:pPr>
        <w:autoSpaceDE w:val="0"/>
        <w:autoSpaceDN w:val="0"/>
        <w:adjustRightInd w:val="0"/>
        <w:snapToGrid w:val="0"/>
        <w:spacing w:before="120" w:beforeLines="50" w:after="120" w:afterLines="50" w:line="300" w:lineRule="auto"/>
        <w:ind w:firstLine="420" w:firstLineChars="200"/>
        <w:jc w:val="center"/>
        <w:rPr>
          <w:rFonts w:eastAsia="黑体"/>
          <w:kern w:val="0"/>
          <w:szCs w:val="21"/>
        </w:rPr>
      </w:pPr>
      <w:r>
        <w:rPr>
          <w:rFonts w:eastAsia="黑体"/>
          <w:kern w:val="0"/>
          <w:szCs w:val="21"/>
        </w:rPr>
        <w:t>表B.4  流动相梯度洗脱程序</w:t>
      </w:r>
    </w:p>
    <w:tbl>
      <w:tblPr>
        <w:tblStyle w:val="7"/>
        <w:tblW w:w="8856"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6"/>
        <w:gridCol w:w="3040"/>
        <w:gridCol w:w="3040"/>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2776"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时间/min</w:t>
            </w:r>
          </w:p>
        </w:tc>
        <w:tc>
          <w:tcPr>
            <w:tcW w:w="3040"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V（A）/%</w:t>
            </w:r>
          </w:p>
        </w:tc>
        <w:tc>
          <w:tcPr>
            <w:tcW w:w="3040" w:type="dxa"/>
            <w:tcBorders>
              <w:top w:val="single" w:color="000000" w:sz="4" w:space="0"/>
              <w:bottom w:val="single" w:color="000000" w:sz="4" w:space="0"/>
            </w:tcBorders>
            <w:vAlign w:val="center"/>
          </w:tcPr>
          <w:p>
            <w:pPr>
              <w:autoSpaceDE w:val="0"/>
              <w:autoSpaceDN w:val="0"/>
              <w:adjustRightInd w:val="0"/>
              <w:spacing w:line="300" w:lineRule="auto"/>
              <w:jc w:val="center"/>
              <w:rPr>
                <w:kern w:val="0"/>
                <w:szCs w:val="21"/>
              </w:rPr>
            </w:pPr>
            <w:r>
              <w:rPr>
                <w:kern w:val="0"/>
                <w:szCs w:val="21"/>
              </w:rPr>
              <w:t>V（B）/%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0.0</w:t>
            </w:r>
          </w:p>
        </w:tc>
        <w:tc>
          <w:tcPr>
            <w:tcW w:w="3040"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90</w:t>
            </w:r>
          </w:p>
        </w:tc>
        <w:tc>
          <w:tcPr>
            <w:tcW w:w="3040" w:type="dxa"/>
            <w:tcBorders>
              <w:top w:val="single" w:color="000000" w:sz="4" w:space="0"/>
              <w:bottom w:val="nil"/>
            </w:tcBorders>
            <w:vAlign w:val="center"/>
          </w:tcPr>
          <w:p>
            <w:pPr>
              <w:autoSpaceDE w:val="0"/>
              <w:autoSpaceDN w:val="0"/>
              <w:adjustRightInd w:val="0"/>
              <w:spacing w:line="300" w:lineRule="auto"/>
              <w:jc w:val="center"/>
              <w:rPr>
                <w:kern w:val="0"/>
                <w:szCs w:val="21"/>
              </w:rPr>
            </w:pPr>
            <w:r>
              <w:rPr>
                <w:kern w:val="0"/>
                <w:szCs w:val="21"/>
              </w:rPr>
              <w:t>10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5.0</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90</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10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PrEx>
        <w:trPr>
          <w:jc w:val="center"/>
        </w:trPr>
        <w:tc>
          <w:tcPr>
            <w:tcW w:w="2776"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10.0</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75</w:t>
            </w:r>
          </w:p>
        </w:tc>
        <w:tc>
          <w:tcPr>
            <w:tcW w:w="3040" w:type="dxa"/>
            <w:tcBorders>
              <w:top w:val="nil"/>
              <w:bottom w:val="nil"/>
            </w:tcBorders>
            <w:vAlign w:val="center"/>
          </w:tcPr>
          <w:p>
            <w:pPr>
              <w:autoSpaceDE w:val="0"/>
              <w:autoSpaceDN w:val="0"/>
              <w:adjustRightInd w:val="0"/>
              <w:spacing w:line="300" w:lineRule="auto"/>
              <w:jc w:val="center"/>
              <w:rPr>
                <w:kern w:val="0"/>
                <w:szCs w:val="21"/>
              </w:rPr>
            </w:pPr>
            <w:r>
              <w:rPr>
                <w:kern w:val="0"/>
                <w:szCs w:val="21"/>
              </w:rPr>
              <w:t>25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tcBorders>
            <w:vAlign w:val="center"/>
          </w:tcPr>
          <w:p>
            <w:pPr>
              <w:autoSpaceDE w:val="0"/>
              <w:autoSpaceDN w:val="0"/>
              <w:adjustRightInd w:val="0"/>
              <w:spacing w:line="300" w:lineRule="auto"/>
              <w:jc w:val="center"/>
              <w:rPr>
                <w:kern w:val="0"/>
                <w:szCs w:val="21"/>
              </w:rPr>
            </w:pPr>
            <w:r>
              <w:rPr>
                <w:kern w:val="0"/>
                <w:szCs w:val="21"/>
              </w:rPr>
              <w:t>15.0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72</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28</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tcBorders>
            <w:vAlign w:val="center"/>
          </w:tcPr>
          <w:p>
            <w:pPr>
              <w:autoSpaceDE w:val="0"/>
              <w:autoSpaceDN w:val="0"/>
              <w:adjustRightInd w:val="0"/>
              <w:spacing w:line="300" w:lineRule="auto"/>
              <w:jc w:val="center"/>
              <w:rPr>
                <w:kern w:val="0"/>
                <w:szCs w:val="21"/>
              </w:rPr>
            </w:pPr>
            <w:r>
              <w:rPr>
                <w:kern w:val="0"/>
                <w:szCs w:val="21"/>
              </w:rPr>
              <w:t>16.0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20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80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tcBorders>
            <w:vAlign w:val="center"/>
          </w:tcPr>
          <w:p>
            <w:pPr>
              <w:autoSpaceDE w:val="0"/>
              <w:autoSpaceDN w:val="0"/>
              <w:adjustRightInd w:val="0"/>
              <w:spacing w:line="300" w:lineRule="auto"/>
              <w:jc w:val="center"/>
              <w:rPr>
                <w:kern w:val="0"/>
                <w:szCs w:val="21"/>
              </w:rPr>
            </w:pPr>
            <w:r>
              <w:rPr>
                <w:kern w:val="0"/>
                <w:szCs w:val="21"/>
              </w:rPr>
              <w:t>20.0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20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80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PrEx>
        <w:trPr>
          <w:jc w:val="center"/>
        </w:trPr>
        <w:tc>
          <w:tcPr>
            <w:tcW w:w="2776" w:type="dxa"/>
            <w:tcBorders>
              <w:top w:val="nil"/>
            </w:tcBorders>
            <w:vAlign w:val="center"/>
          </w:tcPr>
          <w:p>
            <w:pPr>
              <w:autoSpaceDE w:val="0"/>
              <w:autoSpaceDN w:val="0"/>
              <w:adjustRightInd w:val="0"/>
              <w:spacing w:line="300" w:lineRule="auto"/>
              <w:jc w:val="center"/>
              <w:rPr>
                <w:kern w:val="0"/>
                <w:szCs w:val="21"/>
              </w:rPr>
            </w:pPr>
            <w:r>
              <w:rPr>
                <w:kern w:val="0"/>
                <w:szCs w:val="21"/>
              </w:rPr>
              <w:t>20.1</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90</w:t>
            </w:r>
          </w:p>
        </w:tc>
        <w:tc>
          <w:tcPr>
            <w:tcW w:w="3040" w:type="dxa"/>
            <w:tcBorders>
              <w:top w:val="nil"/>
            </w:tcBorders>
            <w:vAlign w:val="center"/>
          </w:tcPr>
          <w:p>
            <w:pPr>
              <w:autoSpaceDE w:val="0"/>
              <w:autoSpaceDN w:val="0"/>
              <w:adjustRightInd w:val="0"/>
              <w:spacing w:line="300" w:lineRule="auto"/>
              <w:jc w:val="center"/>
              <w:rPr>
                <w:kern w:val="0"/>
                <w:szCs w:val="21"/>
              </w:rPr>
            </w:pPr>
            <w:r>
              <w:rPr>
                <w:kern w:val="0"/>
                <w:szCs w:val="21"/>
              </w:rPr>
              <w:t>10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76" w:type="dxa"/>
            <w:tcBorders>
              <w:top w:val="nil"/>
              <w:bottom w:val="single" w:color="000000" w:sz="4" w:space="0"/>
            </w:tcBorders>
            <w:vAlign w:val="center"/>
          </w:tcPr>
          <w:p>
            <w:pPr>
              <w:autoSpaceDE w:val="0"/>
              <w:autoSpaceDN w:val="0"/>
              <w:adjustRightInd w:val="0"/>
              <w:spacing w:line="300" w:lineRule="auto"/>
              <w:jc w:val="center"/>
              <w:rPr>
                <w:kern w:val="0"/>
                <w:szCs w:val="21"/>
              </w:rPr>
            </w:pPr>
            <w:r>
              <w:rPr>
                <w:kern w:val="0"/>
                <w:szCs w:val="21"/>
              </w:rPr>
              <w:t>26.0</w:t>
            </w:r>
          </w:p>
        </w:tc>
        <w:tc>
          <w:tcPr>
            <w:tcW w:w="3040" w:type="dxa"/>
            <w:tcBorders>
              <w:top w:val="nil"/>
              <w:bottom w:val="single" w:color="000000" w:sz="4" w:space="0"/>
            </w:tcBorders>
            <w:vAlign w:val="center"/>
          </w:tcPr>
          <w:p>
            <w:pPr>
              <w:autoSpaceDE w:val="0"/>
              <w:autoSpaceDN w:val="0"/>
              <w:adjustRightInd w:val="0"/>
              <w:spacing w:line="300" w:lineRule="auto"/>
              <w:jc w:val="center"/>
              <w:rPr>
                <w:kern w:val="0"/>
                <w:szCs w:val="21"/>
              </w:rPr>
            </w:pPr>
            <w:r>
              <w:rPr>
                <w:kern w:val="0"/>
                <w:szCs w:val="21"/>
              </w:rPr>
              <w:t>90</w:t>
            </w:r>
          </w:p>
        </w:tc>
        <w:tc>
          <w:tcPr>
            <w:tcW w:w="3040" w:type="dxa"/>
            <w:tcBorders>
              <w:top w:val="nil"/>
              <w:bottom w:val="single" w:color="000000" w:sz="4" w:space="0"/>
            </w:tcBorders>
            <w:vAlign w:val="center"/>
          </w:tcPr>
          <w:p>
            <w:pPr>
              <w:autoSpaceDE w:val="0"/>
              <w:autoSpaceDN w:val="0"/>
              <w:adjustRightInd w:val="0"/>
              <w:spacing w:line="300" w:lineRule="auto"/>
              <w:jc w:val="center"/>
              <w:rPr>
                <w:kern w:val="0"/>
                <w:szCs w:val="21"/>
              </w:rPr>
            </w:pPr>
            <w:r>
              <w:rPr>
                <w:kern w:val="0"/>
                <w:szCs w:val="21"/>
              </w:rPr>
              <w:t>10</w:t>
            </w:r>
          </w:p>
        </w:tc>
      </w:tr>
    </w:tbl>
    <w:p>
      <w:pPr>
        <w:autoSpaceDE w:val="0"/>
        <w:autoSpaceDN w:val="0"/>
        <w:adjustRightInd w:val="0"/>
        <w:snapToGrid w:val="0"/>
        <w:spacing w:before="120" w:beforeLines="50" w:after="120" w:afterLines="50" w:line="300" w:lineRule="auto"/>
        <w:rPr>
          <w:kern w:val="0"/>
          <w:szCs w:val="21"/>
        </w:rPr>
      </w:pPr>
      <w:r>
        <w:rPr>
          <w:kern w:val="0"/>
          <w:szCs w:val="21"/>
        </w:rPr>
        <w:t>B.2.5  参考质谱条件（可根据仪器情况进行调整）</w:t>
      </w:r>
    </w:p>
    <w:p>
      <w:pPr>
        <w:autoSpaceDE w:val="0"/>
        <w:autoSpaceDN w:val="0"/>
        <w:adjustRightInd w:val="0"/>
        <w:snapToGrid w:val="0"/>
        <w:spacing w:before="50" w:after="50" w:line="300" w:lineRule="auto"/>
        <w:ind w:firstLine="420"/>
        <w:rPr>
          <w:kern w:val="0"/>
          <w:szCs w:val="21"/>
        </w:rPr>
      </w:pPr>
      <w:r>
        <w:rPr>
          <w:kern w:val="0"/>
          <w:szCs w:val="21"/>
        </w:rPr>
        <w:t>离子源：ESI源；</w:t>
      </w:r>
    </w:p>
    <w:p>
      <w:pPr>
        <w:autoSpaceDE w:val="0"/>
        <w:autoSpaceDN w:val="0"/>
        <w:adjustRightInd w:val="0"/>
        <w:snapToGrid w:val="0"/>
        <w:spacing w:before="50" w:after="50" w:line="300" w:lineRule="auto"/>
        <w:ind w:firstLine="420"/>
        <w:rPr>
          <w:kern w:val="0"/>
          <w:szCs w:val="21"/>
        </w:rPr>
      </w:pPr>
      <w:r>
        <w:rPr>
          <w:kern w:val="0"/>
          <w:szCs w:val="21"/>
        </w:rPr>
        <w:t>监测模式：负离子多反应监测模式，监测离子对及相关电压参数设定见表B.5</w:t>
      </w:r>
      <w:r>
        <w:rPr>
          <w:rFonts w:hint="eastAsia"/>
          <w:kern w:val="0"/>
          <w:szCs w:val="21"/>
        </w:rPr>
        <w:t>。</w:t>
      </w:r>
    </w:p>
    <w:p>
      <w:pPr>
        <w:autoSpaceDE w:val="0"/>
        <w:autoSpaceDN w:val="0"/>
        <w:adjustRightInd w:val="0"/>
        <w:snapToGrid w:val="0"/>
        <w:spacing w:before="120" w:beforeLines="50" w:after="120" w:afterLines="50" w:line="300" w:lineRule="auto"/>
        <w:ind w:firstLine="420"/>
        <w:jc w:val="center"/>
        <w:rPr>
          <w:rFonts w:eastAsia="黑体"/>
          <w:kern w:val="0"/>
          <w:szCs w:val="21"/>
        </w:rPr>
      </w:pPr>
      <w:r>
        <w:rPr>
          <w:rFonts w:eastAsia="黑体"/>
          <w:kern w:val="0"/>
          <w:szCs w:val="21"/>
        </w:rPr>
        <w:t>表B.5  质谱监测离子对及相关电压参数设定表</w:t>
      </w:r>
    </w:p>
    <w:tbl>
      <w:tblPr>
        <w:tblStyle w:val="7"/>
        <w:tblW w:w="88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2"/>
        <w:gridCol w:w="2171"/>
        <w:gridCol w:w="2171"/>
        <w:gridCol w:w="234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2172" w:type="dxa"/>
            <w:tcBorders>
              <w:bottom w:val="single" w:color="auto" w:sz="4" w:space="0"/>
            </w:tcBorders>
            <w:vAlign w:val="center"/>
          </w:tcPr>
          <w:p>
            <w:pPr>
              <w:spacing w:line="300" w:lineRule="auto"/>
              <w:jc w:val="center"/>
              <w:rPr>
                <w:szCs w:val="21"/>
              </w:rPr>
            </w:pPr>
            <w:r>
              <w:rPr>
                <w:szCs w:val="21"/>
              </w:rPr>
              <w:t>原料名称</w:t>
            </w:r>
          </w:p>
        </w:tc>
        <w:tc>
          <w:tcPr>
            <w:tcW w:w="2171" w:type="dxa"/>
            <w:tcBorders>
              <w:bottom w:val="single" w:color="auto" w:sz="4" w:space="0"/>
            </w:tcBorders>
            <w:vAlign w:val="center"/>
          </w:tcPr>
          <w:p>
            <w:pPr>
              <w:spacing w:line="300" w:lineRule="auto"/>
              <w:jc w:val="center"/>
              <w:rPr>
                <w:szCs w:val="21"/>
              </w:rPr>
            </w:pPr>
            <w:r>
              <w:rPr>
                <w:szCs w:val="21"/>
              </w:rPr>
              <w:t>母离子（m/z）</w:t>
            </w:r>
          </w:p>
        </w:tc>
        <w:tc>
          <w:tcPr>
            <w:tcW w:w="2171" w:type="dxa"/>
            <w:tcBorders>
              <w:bottom w:val="single" w:color="auto" w:sz="4" w:space="0"/>
            </w:tcBorders>
            <w:vAlign w:val="center"/>
          </w:tcPr>
          <w:p>
            <w:pPr>
              <w:spacing w:line="300" w:lineRule="auto"/>
              <w:jc w:val="center"/>
              <w:rPr>
                <w:szCs w:val="21"/>
              </w:rPr>
            </w:pPr>
            <w:r>
              <w:rPr>
                <w:szCs w:val="21"/>
              </w:rPr>
              <w:t>子离子（m/z）</w:t>
            </w:r>
          </w:p>
        </w:tc>
        <w:tc>
          <w:tcPr>
            <w:tcW w:w="2342" w:type="dxa"/>
            <w:tcBorders>
              <w:bottom w:val="single" w:color="auto" w:sz="4" w:space="0"/>
            </w:tcBorders>
            <w:vAlign w:val="center"/>
          </w:tcPr>
          <w:p>
            <w:pPr>
              <w:spacing w:line="300" w:lineRule="auto"/>
              <w:jc w:val="center"/>
              <w:rPr>
                <w:szCs w:val="21"/>
              </w:rPr>
            </w:pPr>
            <w:r>
              <w:rPr>
                <w:szCs w:val="21"/>
              </w:rPr>
              <w:t>碰撞能量（eV）</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2" w:type="dxa"/>
            <w:vMerge w:val="restart"/>
            <w:tcBorders>
              <w:top w:val="single" w:color="auto" w:sz="4" w:space="0"/>
            </w:tcBorders>
            <w:vAlign w:val="center"/>
          </w:tcPr>
          <w:p>
            <w:pPr>
              <w:spacing w:line="300" w:lineRule="auto"/>
              <w:jc w:val="center"/>
              <w:rPr>
                <w:szCs w:val="21"/>
              </w:rPr>
            </w:pPr>
            <w:r>
              <w:rPr>
                <w:szCs w:val="21"/>
              </w:rPr>
              <w:t>氢醌</w:t>
            </w:r>
          </w:p>
        </w:tc>
        <w:tc>
          <w:tcPr>
            <w:tcW w:w="2171" w:type="dxa"/>
            <w:vMerge w:val="restart"/>
            <w:tcBorders>
              <w:top w:val="single" w:color="auto" w:sz="4" w:space="0"/>
            </w:tcBorders>
            <w:vAlign w:val="center"/>
          </w:tcPr>
          <w:p>
            <w:pPr>
              <w:spacing w:line="300" w:lineRule="auto"/>
              <w:jc w:val="center"/>
              <w:rPr>
                <w:szCs w:val="21"/>
              </w:rPr>
            </w:pPr>
            <w:r>
              <w:rPr>
                <w:szCs w:val="21"/>
              </w:rPr>
              <w:t>109.0</w:t>
            </w:r>
          </w:p>
        </w:tc>
        <w:tc>
          <w:tcPr>
            <w:tcW w:w="2171" w:type="dxa"/>
            <w:tcBorders>
              <w:top w:val="single" w:color="auto" w:sz="4" w:space="0"/>
            </w:tcBorders>
            <w:vAlign w:val="center"/>
          </w:tcPr>
          <w:p>
            <w:pPr>
              <w:spacing w:line="300" w:lineRule="auto"/>
              <w:jc w:val="center"/>
              <w:rPr>
                <w:szCs w:val="21"/>
              </w:rPr>
            </w:pPr>
            <w:r>
              <w:rPr>
                <w:szCs w:val="21"/>
              </w:rPr>
              <w:t>81.0</w:t>
            </w:r>
          </w:p>
        </w:tc>
        <w:tc>
          <w:tcPr>
            <w:tcW w:w="2342" w:type="dxa"/>
            <w:tcBorders>
              <w:top w:val="single" w:color="auto" w:sz="4" w:space="0"/>
            </w:tcBorders>
            <w:vAlign w:val="center"/>
          </w:tcPr>
          <w:p>
            <w:pPr>
              <w:spacing w:line="300" w:lineRule="auto"/>
              <w:jc w:val="center"/>
              <w:rPr>
                <w:szCs w:val="21"/>
              </w:rPr>
            </w:pPr>
            <w:r>
              <w:rPr>
                <w:szCs w:val="21"/>
              </w:rPr>
              <w:t>−17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2" w:type="dxa"/>
            <w:vMerge w:val="continue"/>
            <w:vAlign w:val="center"/>
          </w:tcPr>
          <w:p>
            <w:pPr>
              <w:spacing w:line="300" w:lineRule="auto"/>
              <w:jc w:val="center"/>
              <w:rPr>
                <w:szCs w:val="21"/>
              </w:rPr>
            </w:pPr>
          </w:p>
        </w:tc>
        <w:tc>
          <w:tcPr>
            <w:tcW w:w="2171" w:type="dxa"/>
            <w:vMerge w:val="continue"/>
            <w:vAlign w:val="center"/>
          </w:tcPr>
          <w:p>
            <w:pPr>
              <w:spacing w:line="300" w:lineRule="auto"/>
              <w:jc w:val="center"/>
              <w:rPr>
                <w:szCs w:val="21"/>
              </w:rPr>
            </w:pPr>
          </w:p>
        </w:tc>
        <w:tc>
          <w:tcPr>
            <w:tcW w:w="2171" w:type="dxa"/>
            <w:vAlign w:val="center"/>
          </w:tcPr>
          <w:p>
            <w:pPr>
              <w:spacing w:line="300" w:lineRule="auto"/>
              <w:jc w:val="center"/>
              <w:rPr>
                <w:szCs w:val="21"/>
              </w:rPr>
            </w:pPr>
            <w:r>
              <w:rPr>
                <w:szCs w:val="21"/>
              </w:rPr>
              <w:t>53.0</w:t>
            </w:r>
          </w:p>
        </w:tc>
        <w:tc>
          <w:tcPr>
            <w:tcW w:w="2342" w:type="dxa"/>
            <w:vAlign w:val="center"/>
          </w:tcPr>
          <w:p>
            <w:pPr>
              <w:spacing w:line="300" w:lineRule="auto"/>
              <w:jc w:val="center"/>
              <w:rPr>
                <w:szCs w:val="21"/>
              </w:rPr>
            </w:pPr>
            <w:r>
              <w:rPr>
                <w:szCs w:val="21"/>
              </w:rPr>
              <w:t>−18</w:t>
            </w:r>
          </w:p>
        </w:tc>
      </w:tr>
    </w:tbl>
    <w:p>
      <w:pPr>
        <w:autoSpaceDE w:val="0"/>
        <w:autoSpaceDN w:val="0"/>
        <w:adjustRightInd w:val="0"/>
        <w:snapToGrid w:val="0"/>
        <w:spacing w:before="120" w:beforeLines="50" w:after="120" w:afterLines="50" w:line="300" w:lineRule="auto"/>
        <w:rPr>
          <w:kern w:val="0"/>
          <w:szCs w:val="21"/>
        </w:rPr>
      </w:pPr>
      <w:r>
        <w:rPr>
          <w:kern w:val="0"/>
          <w:szCs w:val="21"/>
        </w:rPr>
        <w:t>B.2.6  定性判定</w:t>
      </w:r>
    </w:p>
    <w:p>
      <w:pPr>
        <w:tabs>
          <w:tab w:val="left" w:pos="5745"/>
        </w:tabs>
        <w:snapToGrid w:val="0"/>
        <w:spacing w:before="50" w:after="50" w:line="300" w:lineRule="auto"/>
        <w:ind w:firstLine="420" w:firstLineChars="200"/>
        <w:rPr>
          <w:szCs w:val="21"/>
        </w:rPr>
      </w:pPr>
      <w:r>
        <w:rPr>
          <w:szCs w:val="21"/>
        </w:rPr>
        <w:t>用液相色谱-串联质谱法对样品进行定性判定，在相同试验条件下，样品中应呈现两个监测离子的色谱峰，样品中各离子的保留时间应与相应标准溶液中各离子的保留时间一致；样品色谱图中所选择的监测离子的相对丰度比与相当浓度标准溶液的离子相对丰度比的偏差不超过表B.6规定范围，则可以判断样品中存在相应待测物。</w:t>
      </w:r>
    </w:p>
    <w:p>
      <w:pPr>
        <w:snapToGrid w:val="0"/>
        <w:spacing w:before="120" w:beforeLines="50" w:after="120" w:afterLines="50" w:line="300" w:lineRule="auto"/>
        <w:jc w:val="center"/>
        <w:rPr>
          <w:rFonts w:eastAsia="黑体"/>
          <w:bCs/>
          <w:szCs w:val="21"/>
        </w:rPr>
      </w:pPr>
      <w:r>
        <w:rPr>
          <w:rFonts w:eastAsia="黑体"/>
          <w:bCs/>
          <w:szCs w:val="21"/>
        </w:rPr>
        <w:t>表B.6  定性确证时相对离子丰度的最大允许偏差</w:t>
      </w:r>
    </w:p>
    <w:tbl>
      <w:tblPr>
        <w:tblStyle w:val="7"/>
        <w:tblW w:w="8856"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376"/>
        <w:gridCol w:w="1096"/>
        <w:gridCol w:w="1893"/>
        <w:gridCol w:w="1936"/>
        <w:gridCol w:w="155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376" w:type="dxa"/>
            <w:vAlign w:val="center"/>
          </w:tcPr>
          <w:p>
            <w:pPr>
              <w:tabs>
                <w:tab w:val="left" w:pos="5745"/>
              </w:tabs>
              <w:spacing w:line="300" w:lineRule="auto"/>
              <w:jc w:val="center"/>
              <w:rPr>
                <w:szCs w:val="21"/>
              </w:rPr>
            </w:pPr>
            <w:r>
              <w:rPr>
                <w:szCs w:val="21"/>
              </w:rPr>
              <w:t>相对离子丰度（k）</w:t>
            </w:r>
          </w:p>
        </w:tc>
        <w:tc>
          <w:tcPr>
            <w:tcW w:w="1096" w:type="dxa"/>
            <w:vAlign w:val="center"/>
          </w:tcPr>
          <w:p>
            <w:pPr>
              <w:tabs>
                <w:tab w:val="left" w:pos="5745"/>
              </w:tabs>
              <w:spacing w:line="300" w:lineRule="auto"/>
              <w:jc w:val="center"/>
              <w:rPr>
                <w:szCs w:val="21"/>
              </w:rPr>
            </w:pPr>
            <w:r>
              <w:rPr>
                <w:szCs w:val="21"/>
              </w:rPr>
              <w:t>k&gt;50%</w:t>
            </w:r>
          </w:p>
        </w:tc>
        <w:tc>
          <w:tcPr>
            <w:tcW w:w="1893" w:type="dxa"/>
            <w:vAlign w:val="center"/>
          </w:tcPr>
          <w:p>
            <w:pPr>
              <w:tabs>
                <w:tab w:val="left" w:pos="5745"/>
              </w:tabs>
              <w:spacing w:line="300" w:lineRule="auto"/>
              <w:jc w:val="center"/>
              <w:rPr>
                <w:szCs w:val="21"/>
              </w:rPr>
            </w:pPr>
            <w:r>
              <w:rPr>
                <w:szCs w:val="21"/>
              </w:rPr>
              <w:t>50%≥k&gt;20%</w:t>
            </w:r>
          </w:p>
        </w:tc>
        <w:tc>
          <w:tcPr>
            <w:tcW w:w="1936" w:type="dxa"/>
            <w:vAlign w:val="center"/>
          </w:tcPr>
          <w:p>
            <w:pPr>
              <w:tabs>
                <w:tab w:val="left" w:pos="5745"/>
              </w:tabs>
              <w:spacing w:line="300" w:lineRule="auto"/>
              <w:jc w:val="center"/>
              <w:rPr>
                <w:szCs w:val="21"/>
              </w:rPr>
            </w:pPr>
            <w:r>
              <w:rPr>
                <w:szCs w:val="21"/>
              </w:rPr>
              <w:t>20%≥k&gt;10%</w:t>
            </w:r>
          </w:p>
        </w:tc>
        <w:tc>
          <w:tcPr>
            <w:tcW w:w="1555" w:type="dxa"/>
            <w:vAlign w:val="center"/>
          </w:tcPr>
          <w:p>
            <w:pPr>
              <w:tabs>
                <w:tab w:val="left" w:pos="5745"/>
              </w:tabs>
              <w:spacing w:line="300" w:lineRule="auto"/>
              <w:jc w:val="center"/>
              <w:rPr>
                <w:szCs w:val="21"/>
              </w:rPr>
            </w:pPr>
            <w:r>
              <w:rPr>
                <w:szCs w:val="21"/>
              </w:rPr>
              <w:t>k≤10%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42" w:hRule="atLeast"/>
          <w:jc w:val="center"/>
        </w:trPr>
        <w:tc>
          <w:tcPr>
            <w:tcW w:w="2376" w:type="dxa"/>
            <w:vAlign w:val="center"/>
          </w:tcPr>
          <w:p>
            <w:pPr>
              <w:tabs>
                <w:tab w:val="left" w:pos="5745"/>
              </w:tabs>
              <w:spacing w:line="300" w:lineRule="auto"/>
              <w:jc w:val="center"/>
              <w:rPr>
                <w:szCs w:val="21"/>
              </w:rPr>
            </w:pPr>
            <w:r>
              <w:rPr>
                <w:szCs w:val="21"/>
              </w:rPr>
              <w:t>允许的最大偏差</w:t>
            </w:r>
          </w:p>
        </w:tc>
        <w:tc>
          <w:tcPr>
            <w:tcW w:w="1096" w:type="dxa"/>
            <w:vAlign w:val="center"/>
          </w:tcPr>
          <w:p>
            <w:pPr>
              <w:tabs>
                <w:tab w:val="left" w:pos="5745"/>
              </w:tabs>
              <w:spacing w:line="300" w:lineRule="auto"/>
              <w:jc w:val="center"/>
              <w:rPr>
                <w:szCs w:val="21"/>
              </w:rPr>
            </w:pPr>
            <w:r>
              <w:rPr>
                <w:szCs w:val="21"/>
              </w:rPr>
              <w:t>±20%</w:t>
            </w:r>
          </w:p>
        </w:tc>
        <w:tc>
          <w:tcPr>
            <w:tcW w:w="1893" w:type="dxa"/>
            <w:vAlign w:val="center"/>
          </w:tcPr>
          <w:p>
            <w:pPr>
              <w:tabs>
                <w:tab w:val="left" w:pos="5745"/>
              </w:tabs>
              <w:spacing w:line="300" w:lineRule="auto"/>
              <w:jc w:val="center"/>
              <w:rPr>
                <w:szCs w:val="21"/>
              </w:rPr>
            </w:pPr>
            <w:r>
              <w:rPr>
                <w:szCs w:val="21"/>
              </w:rPr>
              <w:t>±25%</w:t>
            </w:r>
          </w:p>
        </w:tc>
        <w:tc>
          <w:tcPr>
            <w:tcW w:w="1936" w:type="dxa"/>
            <w:vAlign w:val="center"/>
          </w:tcPr>
          <w:p>
            <w:pPr>
              <w:tabs>
                <w:tab w:val="left" w:pos="5745"/>
              </w:tabs>
              <w:spacing w:line="300" w:lineRule="auto"/>
              <w:jc w:val="center"/>
              <w:rPr>
                <w:szCs w:val="21"/>
              </w:rPr>
            </w:pPr>
            <w:r>
              <w:rPr>
                <w:szCs w:val="21"/>
              </w:rPr>
              <w:t>±30%</w:t>
            </w:r>
          </w:p>
        </w:tc>
        <w:tc>
          <w:tcPr>
            <w:tcW w:w="1555" w:type="dxa"/>
            <w:vAlign w:val="center"/>
          </w:tcPr>
          <w:p>
            <w:pPr>
              <w:tabs>
                <w:tab w:val="left" w:pos="5745"/>
              </w:tabs>
              <w:spacing w:line="300" w:lineRule="auto"/>
              <w:jc w:val="center"/>
              <w:rPr>
                <w:szCs w:val="21"/>
              </w:rPr>
            </w:pPr>
            <w:r>
              <w:rPr>
                <w:szCs w:val="21"/>
              </w:rPr>
              <w:t>±50%</w:t>
            </w:r>
          </w:p>
        </w:tc>
      </w:tr>
    </w:tbl>
    <w:p>
      <w:pPr>
        <w:autoSpaceDE w:val="0"/>
        <w:autoSpaceDN w:val="0"/>
        <w:adjustRightInd w:val="0"/>
        <w:snapToGrid w:val="0"/>
        <w:spacing w:before="120" w:beforeLines="50" w:after="120" w:afterLines="50" w:line="300" w:lineRule="auto"/>
        <w:rPr>
          <w:b/>
          <w:kern w:val="0"/>
          <w:szCs w:val="21"/>
        </w:rPr>
      </w:pPr>
      <w:r>
        <w:rPr>
          <w:kern w:val="0"/>
          <w:szCs w:val="21"/>
        </w:rPr>
        <w:t>B.2.7  图谱</w:t>
      </w:r>
    </w:p>
    <w:p>
      <w:pPr>
        <w:autoSpaceDE w:val="0"/>
        <w:autoSpaceDN w:val="0"/>
        <w:adjustRightInd w:val="0"/>
        <w:spacing w:line="300" w:lineRule="auto"/>
        <w:jc w:val="center"/>
        <w:rPr>
          <w:b/>
          <w:kern w:val="0"/>
          <w:szCs w:val="21"/>
        </w:rPr>
      </w:pPr>
      <w:r>
        <w:rPr>
          <w:b/>
          <w:kern w:val="0"/>
          <w:szCs w:val="21"/>
        </w:rPr>
        <w:drawing>
          <wp:inline distT="0" distB="0" distL="0" distR="0">
            <wp:extent cx="3228340" cy="1391285"/>
            <wp:effectExtent l="0" t="0" r="0" b="0"/>
            <wp:docPr id="725" name="图片 4" descr="图表&#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5" name="图片 4" descr="图表&#10;&#10;描述已自动生成"/>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a:off x="0" y="0"/>
                      <a:ext cx="3228340" cy="1391285"/>
                    </a:xfrm>
                    <a:prstGeom prst="rect">
                      <a:avLst/>
                    </a:prstGeom>
                    <a:noFill/>
                    <a:ln>
                      <a:noFill/>
                    </a:ln>
                  </pic:spPr>
                </pic:pic>
              </a:graphicData>
            </a:graphic>
          </wp:inline>
        </w:drawing>
      </w:r>
    </w:p>
    <w:p>
      <w:pPr>
        <w:autoSpaceDE w:val="0"/>
        <w:autoSpaceDN w:val="0"/>
        <w:adjustRightInd w:val="0"/>
        <w:spacing w:before="120" w:beforeLines="50" w:after="120" w:afterLines="50"/>
        <w:jc w:val="center"/>
        <w:rPr>
          <w:rFonts w:eastAsia="黑体"/>
          <w:kern w:val="0"/>
          <w:szCs w:val="21"/>
        </w:rPr>
      </w:pPr>
      <w:r>
        <w:rPr>
          <w:rFonts w:eastAsia="黑体"/>
          <w:kern w:val="0"/>
          <w:szCs w:val="21"/>
        </w:rPr>
        <w:t>图B.2  氢醌标准溶液</w:t>
      </w:r>
      <w:r>
        <w:rPr>
          <w:rFonts w:hint="eastAsia" w:eastAsia="黑体"/>
          <w:bCs/>
          <w:szCs w:val="21"/>
        </w:rPr>
        <w:t>HPLC-MS/MS色谱</w:t>
      </w:r>
      <w:r>
        <w:rPr>
          <w:rFonts w:eastAsia="黑体"/>
          <w:bCs/>
          <w:szCs w:val="21"/>
        </w:rPr>
        <w:t>图</w:t>
      </w:r>
    </w:p>
    <w:p>
      <w:pPr>
        <w:autoSpaceDE w:val="0"/>
        <w:autoSpaceDN w:val="0"/>
        <w:adjustRightInd w:val="0"/>
        <w:spacing w:before="50" w:after="50" w:line="300" w:lineRule="auto"/>
        <w:jc w:val="center"/>
        <w:rPr>
          <w:kern w:val="0"/>
          <w:sz w:val="18"/>
          <w:szCs w:val="21"/>
        </w:rPr>
      </w:pPr>
      <w:r>
        <w:rPr>
          <w:kern w:val="0"/>
          <w:sz w:val="18"/>
          <w:szCs w:val="21"/>
        </w:rPr>
        <w:t>1：氢醌</w:t>
      </w:r>
    </w:p>
    <w:p>
      <w:pPr>
        <w:autoSpaceDE w:val="0"/>
        <w:autoSpaceDN w:val="0"/>
        <w:adjustRightInd w:val="0"/>
        <w:spacing w:before="120" w:beforeLines="50" w:after="120" w:afterLines="50" w:line="300" w:lineRule="auto"/>
        <w:rPr>
          <w:rFonts w:eastAsia="黑体"/>
          <w:kern w:val="0"/>
          <w:szCs w:val="21"/>
        </w:rPr>
      </w:pPr>
      <w:r>
        <w:rPr>
          <w:rFonts w:eastAsia="黑体"/>
          <w:kern w:val="0"/>
          <w:szCs w:val="21"/>
        </w:rPr>
        <w:t>B.3  苯酚的气相色谱-串联质谱法确证</w:t>
      </w:r>
    </w:p>
    <w:p>
      <w:pPr>
        <w:autoSpaceDE w:val="0"/>
        <w:autoSpaceDN w:val="0"/>
        <w:adjustRightInd w:val="0"/>
        <w:spacing w:before="120" w:beforeLines="50" w:after="120" w:afterLines="50" w:line="300" w:lineRule="auto"/>
        <w:rPr>
          <w:kern w:val="0"/>
          <w:szCs w:val="21"/>
        </w:rPr>
      </w:pPr>
      <w:r>
        <w:rPr>
          <w:kern w:val="0"/>
          <w:szCs w:val="21"/>
        </w:rPr>
        <w:t>B.3.1  试剂和材料</w:t>
      </w:r>
    </w:p>
    <w:p>
      <w:pPr>
        <w:autoSpaceDE w:val="0"/>
        <w:autoSpaceDN w:val="0"/>
        <w:adjustRightInd w:val="0"/>
        <w:spacing w:before="120" w:beforeLines="50" w:after="120" w:afterLines="50" w:line="300" w:lineRule="auto"/>
        <w:rPr>
          <w:kern w:val="0"/>
          <w:szCs w:val="21"/>
        </w:rPr>
      </w:pPr>
      <w:r>
        <w:rPr>
          <w:kern w:val="0"/>
          <w:szCs w:val="21"/>
        </w:rPr>
        <w:t>B.3.1.1  无水硫酸钠。</w:t>
      </w:r>
    </w:p>
    <w:p>
      <w:pPr>
        <w:autoSpaceDE w:val="0"/>
        <w:autoSpaceDN w:val="0"/>
        <w:adjustRightInd w:val="0"/>
        <w:spacing w:before="120" w:beforeLines="50" w:after="120" w:afterLines="50" w:line="300" w:lineRule="auto"/>
        <w:rPr>
          <w:kern w:val="0"/>
          <w:szCs w:val="21"/>
        </w:rPr>
      </w:pPr>
      <w:r>
        <w:rPr>
          <w:kern w:val="0"/>
          <w:szCs w:val="21"/>
        </w:rPr>
        <w:t>B.3.1.2  微孔滤膜（0.22 μm）。</w:t>
      </w:r>
    </w:p>
    <w:p>
      <w:pPr>
        <w:autoSpaceDE w:val="0"/>
        <w:autoSpaceDN w:val="0"/>
        <w:adjustRightInd w:val="0"/>
        <w:spacing w:before="120" w:beforeLines="50" w:after="120" w:afterLines="50" w:line="300" w:lineRule="auto"/>
        <w:rPr>
          <w:kern w:val="0"/>
          <w:szCs w:val="21"/>
        </w:rPr>
      </w:pPr>
      <w:r>
        <w:rPr>
          <w:kern w:val="0"/>
          <w:szCs w:val="21"/>
        </w:rPr>
        <w:t>B.3.2  仪器</w:t>
      </w:r>
    </w:p>
    <w:p>
      <w:pPr>
        <w:autoSpaceDE w:val="0"/>
        <w:autoSpaceDN w:val="0"/>
        <w:adjustRightInd w:val="0"/>
        <w:spacing w:before="120" w:beforeLines="50" w:after="120" w:afterLines="50" w:line="300" w:lineRule="auto"/>
        <w:ind w:firstLine="420" w:firstLineChars="200"/>
        <w:rPr>
          <w:kern w:val="0"/>
          <w:szCs w:val="21"/>
        </w:rPr>
      </w:pPr>
      <w:r>
        <w:rPr>
          <w:kern w:val="0"/>
          <w:szCs w:val="21"/>
        </w:rPr>
        <w:t>气相色谱-串联质谱联用仪，带电子轰击离子源（EI源）。</w:t>
      </w:r>
    </w:p>
    <w:p>
      <w:pPr>
        <w:autoSpaceDE w:val="0"/>
        <w:autoSpaceDN w:val="0"/>
        <w:adjustRightInd w:val="0"/>
        <w:spacing w:before="120" w:beforeLines="50" w:after="120" w:afterLines="50" w:line="300" w:lineRule="auto"/>
        <w:rPr>
          <w:kern w:val="0"/>
          <w:szCs w:val="21"/>
        </w:rPr>
      </w:pPr>
      <w:r>
        <w:rPr>
          <w:kern w:val="0"/>
          <w:szCs w:val="21"/>
        </w:rPr>
        <w:t>B.3.3  样品处理</w:t>
      </w:r>
    </w:p>
    <w:p>
      <w:pPr>
        <w:autoSpaceDE w:val="0"/>
        <w:autoSpaceDN w:val="0"/>
        <w:adjustRightInd w:val="0"/>
        <w:spacing w:before="120" w:beforeLines="50" w:after="120" w:afterLines="50" w:line="300" w:lineRule="auto"/>
        <w:ind w:firstLine="420" w:firstLineChars="200"/>
        <w:rPr>
          <w:kern w:val="0"/>
          <w:szCs w:val="21"/>
        </w:rPr>
      </w:pPr>
      <w:r>
        <w:rPr>
          <w:kern w:val="0"/>
          <w:szCs w:val="21"/>
        </w:rPr>
        <w:t>取正文</w:t>
      </w:r>
      <w:r>
        <w:rPr>
          <w:rFonts w:hint="eastAsia"/>
          <w:kern w:val="0"/>
          <w:szCs w:val="21"/>
        </w:rPr>
        <w:t>“</w:t>
      </w:r>
      <w:r>
        <w:rPr>
          <w:kern w:val="0"/>
          <w:szCs w:val="21"/>
        </w:rPr>
        <w:t>5.3样品处理</w:t>
      </w:r>
      <w:r>
        <w:rPr>
          <w:rFonts w:hint="eastAsia"/>
          <w:kern w:val="0"/>
          <w:szCs w:val="21"/>
        </w:rPr>
        <w:t>”</w:t>
      </w:r>
      <w:r>
        <w:rPr>
          <w:kern w:val="0"/>
          <w:szCs w:val="21"/>
        </w:rPr>
        <w:t>项下待测溶液5 mL，加入无水硫酸钠（B.3.1）2 g，振摇，静置1 h，取上清液，用微孔滤膜（B.3.1.2）过滤，取滤液作为待测溶液。</w:t>
      </w:r>
    </w:p>
    <w:p>
      <w:pPr>
        <w:autoSpaceDE w:val="0"/>
        <w:autoSpaceDN w:val="0"/>
        <w:adjustRightInd w:val="0"/>
        <w:spacing w:before="120" w:beforeLines="50" w:after="120" w:afterLines="50" w:line="300" w:lineRule="auto"/>
        <w:rPr>
          <w:kern w:val="0"/>
          <w:szCs w:val="21"/>
        </w:rPr>
      </w:pPr>
      <w:r>
        <w:rPr>
          <w:kern w:val="0"/>
          <w:szCs w:val="21"/>
        </w:rPr>
        <w:t>B.3.4  参考气相色谱-质谱条件（可根据仪器情况进行调整）</w:t>
      </w:r>
    </w:p>
    <w:p>
      <w:pPr>
        <w:autoSpaceDE w:val="0"/>
        <w:autoSpaceDN w:val="0"/>
        <w:adjustRightInd w:val="0"/>
        <w:spacing w:before="50" w:after="50" w:line="300" w:lineRule="auto"/>
        <w:ind w:firstLine="420" w:firstLineChars="200"/>
        <w:rPr>
          <w:kern w:val="0"/>
          <w:szCs w:val="21"/>
        </w:rPr>
      </w:pPr>
      <w:r>
        <w:rPr>
          <w:kern w:val="0"/>
          <w:szCs w:val="21"/>
        </w:rPr>
        <w:t>色谱柱：聚乙二醇键合交联固定相毛细管柱（30 m×0.25 mm</w:t>
      </w:r>
      <w:r>
        <w:rPr>
          <w:rFonts w:hint="eastAsia"/>
          <w:kern w:val="0"/>
          <w:szCs w:val="21"/>
        </w:rPr>
        <w:t>，</w:t>
      </w:r>
      <w:r>
        <w:rPr>
          <w:kern w:val="0"/>
          <w:szCs w:val="21"/>
        </w:rPr>
        <w:t>0.25 μm），或等效色谱柱；</w:t>
      </w:r>
    </w:p>
    <w:p>
      <w:pPr>
        <w:autoSpaceDE w:val="0"/>
        <w:autoSpaceDN w:val="0"/>
        <w:adjustRightInd w:val="0"/>
        <w:spacing w:before="50" w:after="50" w:line="300" w:lineRule="auto"/>
        <w:ind w:firstLine="420" w:firstLineChars="200"/>
        <w:rPr>
          <w:kern w:val="0"/>
          <w:szCs w:val="21"/>
        </w:rPr>
      </w:pPr>
      <w:r>
        <w:rPr>
          <w:kern w:val="0"/>
          <w:szCs w:val="21"/>
        </w:rPr>
        <w:t xml:space="preserve">柱温：120 </w:t>
      </w:r>
      <w:r>
        <w:rPr>
          <w:rFonts w:hint="eastAsia" w:ascii="宋体" w:hAnsi="宋体" w:cs="宋体"/>
          <w:kern w:val="0"/>
          <w:szCs w:val="21"/>
        </w:rPr>
        <w:t>℃</w:t>
      </w:r>
      <w:r>
        <w:rPr>
          <w:kern w:val="0"/>
          <w:szCs w:val="21"/>
        </w:rPr>
        <w:t xml:space="preserve">/min保持1 min，以20 </w:t>
      </w:r>
      <w:r>
        <w:rPr>
          <w:rFonts w:hint="eastAsia" w:ascii="宋体" w:hAnsi="宋体" w:cs="宋体"/>
          <w:kern w:val="0"/>
          <w:szCs w:val="21"/>
        </w:rPr>
        <w:t>℃</w:t>
      </w:r>
      <w:r>
        <w:rPr>
          <w:kern w:val="0"/>
          <w:szCs w:val="21"/>
        </w:rPr>
        <w:t xml:space="preserve">/min程序升温至220 </w:t>
      </w:r>
      <w:r>
        <w:rPr>
          <w:rFonts w:hint="eastAsia" w:ascii="宋体" w:hAnsi="宋体" w:cs="宋体"/>
          <w:kern w:val="0"/>
          <w:szCs w:val="21"/>
        </w:rPr>
        <w:t>℃</w:t>
      </w:r>
      <w:r>
        <w:rPr>
          <w:kern w:val="0"/>
          <w:szCs w:val="21"/>
        </w:rPr>
        <w:t>，保持4 min；</w:t>
      </w:r>
    </w:p>
    <w:p>
      <w:pPr>
        <w:autoSpaceDE w:val="0"/>
        <w:autoSpaceDN w:val="0"/>
        <w:adjustRightInd w:val="0"/>
        <w:spacing w:before="50" w:after="50" w:line="300" w:lineRule="auto"/>
        <w:ind w:firstLine="420" w:firstLineChars="200"/>
        <w:rPr>
          <w:kern w:val="0"/>
          <w:szCs w:val="21"/>
        </w:rPr>
      </w:pPr>
      <w:r>
        <w:rPr>
          <w:kern w:val="0"/>
          <w:szCs w:val="21"/>
        </w:rPr>
        <w:t xml:space="preserve">进样口温度：230 </w:t>
      </w:r>
      <w:r>
        <w:rPr>
          <w:rFonts w:hint="eastAsia" w:ascii="宋体" w:hAnsi="宋体" w:cs="宋体"/>
          <w:kern w:val="0"/>
          <w:szCs w:val="21"/>
        </w:rPr>
        <w:t>℃</w:t>
      </w:r>
      <w:r>
        <w:rPr>
          <w:kern w:val="0"/>
          <w:szCs w:val="21"/>
        </w:rPr>
        <w:t>；</w:t>
      </w:r>
    </w:p>
    <w:p>
      <w:pPr>
        <w:autoSpaceDE w:val="0"/>
        <w:autoSpaceDN w:val="0"/>
        <w:adjustRightInd w:val="0"/>
        <w:spacing w:before="50" w:after="50" w:line="300" w:lineRule="auto"/>
        <w:ind w:firstLine="420" w:firstLineChars="200"/>
        <w:rPr>
          <w:kern w:val="0"/>
          <w:szCs w:val="21"/>
        </w:rPr>
      </w:pPr>
      <w:r>
        <w:rPr>
          <w:kern w:val="0"/>
          <w:szCs w:val="21"/>
        </w:rPr>
        <w:t>载气流速：1.5 mL/min；</w:t>
      </w:r>
    </w:p>
    <w:p>
      <w:pPr>
        <w:autoSpaceDE w:val="0"/>
        <w:autoSpaceDN w:val="0"/>
        <w:adjustRightInd w:val="0"/>
        <w:spacing w:before="50" w:after="50" w:line="300" w:lineRule="auto"/>
        <w:ind w:firstLine="420" w:firstLineChars="200"/>
        <w:rPr>
          <w:kern w:val="0"/>
          <w:szCs w:val="21"/>
        </w:rPr>
      </w:pPr>
      <w:r>
        <w:rPr>
          <w:kern w:val="0"/>
          <w:szCs w:val="21"/>
        </w:rPr>
        <w:t>分流比：1:1；</w:t>
      </w:r>
    </w:p>
    <w:p>
      <w:pPr>
        <w:autoSpaceDE w:val="0"/>
        <w:autoSpaceDN w:val="0"/>
        <w:adjustRightInd w:val="0"/>
        <w:spacing w:before="50" w:after="50" w:line="300" w:lineRule="auto"/>
        <w:ind w:firstLine="420" w:firstLineChars="200"/>
        <w:rPr>
          <w:kern w:val="0"/>
          <w:szCs w:val="21"/>
        </w:rPr>
      </w:pPr>
      <w:r>
        <w:rPr>
          <w:kern w:val="0"/>
          <w:szCs w:val="21"/>
        </w:rPr>
        <w:t>溶剂延迟：2.5 min;</w:t>
      </w:r>
    </w:p>
    <w:p>
      <w:pPr>
        <w:autoSpaceDE w:val="0"/>
        <w:autoSpaceDN w:val="0"/>
        <w:adjustRightInd w:val="0"/>
        <w:spacing w:before="50" w:after="50" w:line="300" w:lineRule="auto"/>
        <w:ind w:firstLine="420" w:firstLineChars="200"/>
        <w:rPr>
          <w:kern w:val="0"/>
          <w:szCs w:val="21"/>
        </w:rPr>
      </w:pPr>
      <w:r>
        <w:rPr>
          <w:kern w:val="0"/>
          <w:szCs w:val="21"/>
        </w:rPr>
        <w:t>进样量：1 μL；</w:t>
      </w:r>
    </w:p>
    <w:p>
      <w:pPr>
        <w:autoSpaceDE w:val="0"/>
        <w:autoSpaceDN w:val="0"/>
        <w:adjustRightInd w:val="0"/>
        <w:spacing w:before="50" w:after="50" w:line="300" w:lineRule="auto"/>
        <w:ind w:firstLine="420" w:firstLineChars="200"/>
        <w:rPr>
          <w:kern w:val="0"/>
          <w:szCs w:val="21"/>
        </w:rPr>
      </w:pPr>
      <w:r>
        <w:rPr>
          <w:kern w:val="0"/>
          <w:szCs w:val="21"/>
        </w:rPr>
        <w:t>离子源：EI源；</w:t>
      </w:r>
    </w:p>
    <w:p>
      <w:pPr>
        <w:autoSpaceDE w:val="0"/>
        <w:autoSpaceDN w:val="0"/>
        <w:adjustRightInd w:val="0"/>
        <w:spacing w:before="50" w:after="50" w:line="300" w:lineRule="auto"/>
        <w:ind w:firstLine="420" w:firstLineChars="200"/>
        <w:rPr>
          <w:kern w:val="0"/>
          <w:szCs w:val="21"/>
        </w:rPr>
      </w:pPr>
      <w:r>
        <w:rPr>
          <w:kern w:val="0"/>
          <w:szCs w:val="21"/>
        </w:rPr>
        <w:t xml:space="preserve">离子源温度：200 </w:t>
      </w:r>
      <w:r>
        <w:rPr>
          <w:rFonts w:hint="eastAsia" w:ascii="宋体" w:hAnsi="宋体" w:cs="宋体"/>
          <w:kern w:val="0"/>
          <w:szCs w:val="21"/>
        </w:rPr>
        <w:t>℃</w:t>
      </w:r>
      <w:r>
        <w:rPr>
          <w:kern w:val="0"/>
          <w:szCs w:val="21"/>
        </w:rPr>
        <w:t>；</w:t>
      </w:r>
    </w:p>
    <w:p>
      <w:pPr>
        <w:autoSpaceDE w:val="0"/>
        <w:autoSpaceDN w:val="0"/>
        <w:adjustRightInd w:val="0"/>
        <w:spacing w:before="50" w:after="50" w:line="300" w:lineRule="auto"/>
        <w:ind w:firstLine="420" w:firstLineChars="200"/>
        <w:rPr>
          <w:kern w:val="0"/>
          <w:szCs w:val="21"/>
        </w:rPr>
      </w:pPr>
      <w:r>
        <w:rPr>
          <w:kern w:val="0"/>
          <w:szCs w:val="21"/>
        </w:rPr>
        <w:t xml:space="preserve">传输线温度：230 </w:t>
      </w:r>
      <w:r>
        <w:rPr>
          <w:rFonts w:hint="eastAsia" w:ascii="宋体" w:hAnsi="宋体" w:cs="宋体"/>
          <w:kern w:val="0"/>
          <w:szCs w:val="21"/>
        </w:rPr>
        <w:t>℃</w:t>
      </w:r>
      <w:r>
        <w:rPr>
          <w:kern w:val="0"/>
          <w:szCs w:val="21"/>
        </w:rPr>
        <w:t>；</w:t>
      </w:r>
    </w:p>
    <w:p>
      <w:pPr>
        <w:autoSpaceDE w:val="0"/>
        <w:autoSpaceDN w:val="0"/>
        <w:adjustRightInd w:val="0"/>
        <w:spacing w:before="50" w:after="50" w:line="300" w:lineRule="auto"/>
        <w:ind w:firstLine="420" w:firstLineChars="200"/>
        <w:rPr>
          <w:kern w:val="0"/>
          <w:szCs w:val="21"/>
        </w:rPr>
      </w:pPr>
      <w:r>
        <w:rPr>
          <w:kern w:val="0"/>
          <w:szCs w:val="21"/>
        </w:rPr>
        <w:t>电离能量：70 eV；</w:t>
      </w:r>
    </w:p>
    <w:p>
      <w:pPr>
        <w:autoSpaceDE w:val="0"/>
        <w:autoSpaceDN w:val="0"/>
        <w:adjustRightInd w:val="0"/>
        <w:spacing w:before="50" w:after="50" w:line="300" w:lineRule="auto"/>
        <w:ind w:firstLine="420" w:firstLineChars="200"/>
        <w:rPr>
          <w:kern w:val="0"/>
          <w:szCs w:val="21"/>
        </w:rPr>
      </w:pPr>
      <w:r>
        <w:rPr>
          <w:kern w:val="0"/>
          <w:szCs w:val="21"/>
        </w:rPr>
        <w:t>扫描方式：多反应离子监测，监测离子对及相关电压参数设定见表B.7</w:t>
      </w:r>
      <w:r>
        <w:rPr>
          <w:rFonts w:hint="eastAsia"/>
          <w:kern w:val="0"/>
          <w:szCs w:val="21"/>
        </w:rPr>
        <w:t>。</w:t>
      </w:r>
    </w:p>
    <w:p>
      <w:pPr>
        <w:autoSpaceDE w:val="0"/>
        <w:autoSpaceDN w:val="0"/>
        <w:adjustRightInd w:val="0"/>
        <w:spacing w:before="120" w:beforeLines="50" w:after="120" w:afterLines="50"/>
        <w:ind w:firstLine="420"/>
        <w:jc w:val="center"/>
        <w:rPr>
          <w:rFonts w:eastAsia="黑体"/>
          <w:kern w:val="0"/>
          <w:szCs w:val="21"/>
        </w:rPr>
      </w:pPr>
      <w:r>
        <w:rPr>
          <w:rFonts w:eastAsia="黑体"/>
          <w:kern w:val="0"/>
          <w:szCs w:val="21"/>
        </w:rPr>
        <w:t>表B.7  质谱监测离子对及相关电压参数设定表</w:t>
      </w:r>
    </w:p>
    <w:tbl>
      <w:tblPr>
        <w:tblStyle w:val="7"/>
        <w:tblW w:w="88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87"/>
        <w:gridCol w:w="2186"/>
        <w:gridCol w:w="2131"/>
        <w:gridCol w:w="235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2187" w:type="dxa"/>
            <w:tcBorders>
              <w:bottom w:val="single" w:color="auto" w:sz="4" w:space="0"/>
            </w:tcBorders>
            <w:vAlign w:val="center"/>
          </w:tcPr>
          <w:p>
            <w:pPr>
              <w:spacing w:line="300" w:lineRule="auto"/>
              <w:jc w:val="center"/>
              <w:rPr>
                <w:szCs w:val="21"/>
              </w:rPr>
            </w:pPr>
            <w:r>
              <w:rPr>
                <w:szCs w:val="21"/>
              </w:rPr>
              <w:t>原料名称</w:t>
            </w:r>
          </w:p>
        </w:tc>
        <w:tc>
          <w:tcPr>
            <w:tcW w:w="2186" w:type="dxa"/>
            <w:tcBorders>
              <w:bottom w:val="single" w:color="auto" w:sz="4" w:space="0"/>
            </w:tcBorders>
            <w:vAlign w:val="center"/>
          </w:tcPr>
          <w:p>
            <w:pPr>
              <w:spacing w:line="300" w:lineRule="auto"/>
              <w:jc w:val="center"/>
              <w:rPr>
                <w:szCs w:val="21"/>
              </w:rPr>
            </w:pPr>
            <w:r>
              <w:rPr>
                <w:szCs w:val="21"/>
              </w:rPr>
              <w:t>母离子（m/z）</w:t>
            </w:r>
          </w:p>
        </w:tc>
        <w:tc>
          <w:tcPr>
            <w:tcW w:w="2131" w:type="dxa"/>
            <w:tcBorders>
              <w:bottom w:val="single" w:color="auto" w:sz="4" w:space="0"/>
            </w:tcBorders>
            <w:vAlign w:val="center"/>
          </w:tcPr>
          <w:p>
            <w:pPr>
              <w:spacing w:line="300" w:lineRule="auto"/>
              <w:jc w:val="center"/>
              <w:rPr>
                <w:szCs w:val="21"/>
              </w:rPr>
            </w:pPr>
            <w:r>
              <w:rPr>
                <w:szCs w:val="21"/>
              </w:rPr>
              <w:t>子离子（m/z）</w:t>
            </w:r>
          </w:p>
        </w:tc>
        <w:tc>
          <w:tcPr>
            <w:tcW w:w="2352" w:type="dxa"/>
            <w:tcBorders>
              <w:bottom w:val="single" w:color="auto" w:sz="4" w:space="0"/>
            </w:tcBorders>
            <w:vAlign w:val="center"/>
          </w:tcPr>
          <w:p>
            <w:pPr>
              <w:spacing w:line="300" w:lineRule="auto"/>
              <w:jc w:val="center"/>
              <w:rPr>
                <w:szCs w:val="21"/>
              </w:rPr>
            </w:pPr>
            <w:r>
              <w:rPr>
                <w:szCs w:val="21"/>
              </w:rPr>
              <w:t>碰撞能量（eV）</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87" w:type="dxa"/>
            <w:vMerge w:val="restart"/>
            <w:tcBorders>
              <w:top w:val="single" w:color="auto" w:sz="4" w:space="0"/>
            </w:tcBorders>
            <w:vAlign w:val="center"/>
          </w:tcPr>
          <w:p>
            <w:pPr>
              <w:spacing w:line="300" w:lineRule="auto"/>
              <w:jc w:val="center"/>
              <w:rPr>
                <w:szCs w:val="21"/>
              </w:rPr>
            </w:pPr>
            <w:r>
              <w:rPr>
                <w:szCs w:val="21"/>
              </w:rPr>
              <w:t>苯酚</w:t>
            </w:r>
          </w:p>
        </w:tc>
        <w:tc>
          <w:tcPr>
            <w:tcW w:w="2186" w:type="dxa"/>
            <w:vMerge w:val="restart"/>
            <w:tcBorders>
              <w:top w:val="single" w:color="auto" w:sz="4" w:space="0"/>
            </w:tcBorders>
            <w:vAlign w:val="center"/>
          </w:tcPr>
          <w:p>
            <w:pPr>
              <w:spacing w:line="300" w:lineRule="auto"/>
              <w:jc w:val="center"/>
              <w:rPr>
                <w:szCs w:val="21"/>
              </w:rPr>
            </w:pPr>
            <w:r>
              <w:rPr>
                <w:szCs w:val="21"/>
              </w:rPr>
              <w:t>94.0</w:t>
            </w:r>
          </w:p>
        </w:tc>
        <w:tc>
          <w:tcPr>
            <w:tcW w:w="2131" w:type="dxa"/>
            <w:tcBorders>
              <w:top w:val="single" w:color="auto" w:sz="4" w:space="0"/>
            </w:tcBorders>
            <w:vAlign w:val="center"/>
          </w:tcPr>
          <w:p>
            <w:pPr>
              <w:spacing w:line="300" w:lineRule="auto"/>
              <w:jc w:val="center"/>
              <w:rPr>
                <w:szCs w:val="21"/>
              </w:rPr>
            </w:pPr>
            <w:r>
              <w:rPr>
                <w:szCs w:val="21"/>
              </w:rPr>
              <w:t>66.0</w:t>
            </w:r>
          </w:p>
        </w:tc>
        <w:tc>
          <w:tcPr>
            <w:tcW w:w="2352" w:type="dxa"/>
            <w:tcBorders>
              <w:top w:val="single" w:color="auto" w:sz="4" w:space="0"/>
            </w:tcBorders>
            <w:vAlign w:val="center"/>
          </w:tcPr>
          <w:p>
            <w:pPr>
              <w:spacing w:line="300" w:lineRule="auto"/>
              <w:jc w:val="center"/>
              <w:rPr>
                <w:szCs w:val="21"/>
              </w:rPr>
            </w:pPr>
            <w:r>
              <w:rPr>
                <w:szCs w:val="21"/>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87" w:type="dxa"/>
            <w:vMerge w:val="continue"/>
            <w:vAlign w:val="center"/>
          </w:tcPr>
          <w:p>
            <w:pPr>
              <w:spacing w:line="300" w:lineRule="auto"/>
              <w:jc w:val="center"/>
              <w:rPr>
                <w:szCs w:val="21"/>
              </w:rPr>
            </w:pPr>
          </w:p>
        </w:tc>
        <w:tc>
          <w:tcPr>
            <w:tcW w:w="2186" w:type="dxa"/>
            <w:vMerge w:val="continue"/>
            <w:vAlign w:val="center"/>
          </w:tcPr>
          <w:p>
            <w:pPr>
              <w:spacing w:line="300" w:lineRule="auto"/>
              <w:jc w:val="center"/>
              <w:rPr>
                <w:szCs w:val="21"/>
              </w:rPr>
            </w:pPr>
          </w:p>
        </w:tc>
        <w:tc>
          <w:tcPr>
            <w:tcW w:w="2131" w:type="dxa"/>
            <w:vAlign w:val="center"/>
          </w:tcPr>
          <w:p>
            <w:pPr>
              <w:spacing w:line="300" w:lineRule="auto"/>
              <w:jc w:val="center"/>
              <w:rPr>
                <w:szCs w:val="21"/>
              </w:rPr>
            </w:pPr>
            <w:r>
              <w:rPr>
                <w:szCs w:val="21"/>
              </w:rPr>
              <w:t>55.0</w:t>
            </w:r>
          </w:p>
        </w:tc>
        <w:tc>
          <w:tcPr>
            <w:tcW w:w="2352" w:type="dxa"/>
            <w:vAlign w:val="center"/>
          </w:tcPr>
          <w:p>
            <w:pPr>
              <w:spacing w:line="300" w:lineRule="auto"/>
              <w:jc w:val="center"/>
              <w:rPr>
                <w:szCs w:val="21"/>
              </w:rPr>
            </w:pPr>
            <w:r>
              <w:rPr>
                <w:szCs w:val="21"/>
              </w:rPr>
              <w:t>15</w:t>
            </w:r>
          </w:p>
        </w:tc>
      </w:tr>
    </w:tbl>
    <w:p>
      <w:pPr>
        <w:autoSpaceDE w:val="0"/>
        <w:autoSpaceDN w:val="0"/>
        <w:adjustRightInd w:val="0"/>
        <w:spacing w:before="120" w:beforeLines="50" w:after="120" w:afterLines="50" w:line="300" w:lineRule="auto"/>
        <w:rPr>
          <w:kern w:val="0"/>
          <w:szCs w:val="21"/>
        </w:rPr>
      </w:pPr>
      <w:r>
        <w:rPr>
          <w:kern w:val="0"/>
          <w:szCs w:val="21"/>
        </w:rPr>
        <w:t>B.3.5  定性判定</w:t>
      </w:r>
    </w:p>
    <w:p>
      <w:pPr>
        <w:tabs>
          <w:tab w:val="left" w:pos="5745"/>
        </w:tabs>
        <w:spacing w:before="50" w:after="120" w:afterLines="50" w:line="300" w:lineRule="auto"/>
        <w:ind w:firstLine="420" w:firstLineChars="200"/>
        <w:rPr>
          <w:szCs w:val="21"/>
        </w:rPr>
      </w:pPr>
      <w:r>
        <w:rPr>
          <w:szCs w:val="21"/>
        </w:rPr>
        <w:t>用气相色谱-串联质谱法对样品进行定性判定，在相同试验条件下，样品中应呈现两个监测离子的色谱峰，样品中各离子的保留时间应与标准溶液中各离子的保留时间一致；样品色谱图中所选择的监测离子的相对丰度比与相当浓度标准溶液的离子相对丰度比的偏差不超过表B.8规定范围，则可以判断样品中存在相应待测物。</w:t>
      </w:r>
    </w:p>
    <w:p>
      <w:pPr>
        <w:spacing w:before="120" w:beforeLines="50" w:after="120" w:afterLines="50" w:line="300" w:lineRule="auto"/>
        <w:jc w:val="center"/>
        <w:rPr>
          <w:rFonts w:eastAsia="黑体"/>
          <w:bCs/>
          <w:szCs w:val="21"/>
        </w:rPr>
      </w:pPr>
      <w:r>
        <w:rPr>
          <w:rFonts w:eastAsia="黑体"/>
          <w:bCs/>
          <w:szCs w:val="21"/>
        </w:rPr>
        <w:t>表B.8  定性确证时相对离子丰度的最大允许偏差</w:t>
      </w:r>
    </w:p>
    <w:tbl>
      <w:tblPr>
        <w:tblStyle w:val="7"/>
        <w:tblW w:w="8856"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377"/>
        <w:gridCol w:w="1095"/>
        <w:gridCol w:w="1893"/>
        <w:gridCol w:w="1936"/>
        <w:gridCol w:w="155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377" w:type="dxa"/>
            <w:vAlign w:val="center"/>
          </w:tcPr>
          <w:p>
            <w:pPr>
              <w:tabs>
                <w:tab w:val="left" w:pos="5745"/>
              </w:tabs>
              <w:spacing w:line="300" w:lineRule="auto"/>
              <w:jc w:val="center"/>
              <w:rPr>
                <w:szCs w:val="21"/>
              </w:rPr>
            </w:pPr>
            <w:r>
              <w:rPr>
                <w:szCs w:val="21"/>
              </w:rPr>
              <w:t>相对离子丰度（k）</w:t>
            </w:r>
          </w:p>
        </w:tc>
        <w:tc>
          <w:tcPr>
            <w:tcW w:w="1095" w:type="dxa"/>
            <w:vAlign w:val="center"/>
          </w:tcPr>
          <w:p>
            <w:pPr>
              <w:tabs>
                <w:tab w:val="left" w:pos="5745"/>
              </w:tabs>
              <w:spacing w:line="300" w:lineRule="auto"/>
              <w:jc w:val="center"/>
              <w:rPr>
                <w:szCs w:val="21"/>
              </w:rPr>
            </w:pPr>
            <w:r>
              <w:rPr>
                <w:szCs w:val="21"/>
              </w:rPr>
              <w:t>k&gt;50%</w:t>
            </w:r>
          </w:p>
        </w:tc>
        <w:tc>
          <w:tcPr>
            <w:tcW w:w="1893" w:type="dxa"/>
            <w:vAlign w:val="center"/>
          </w:tcPr>
          <w:p>
            <w:pPr>
              <w:tabs>
                <w:tab w:val="left" w:pos="5745"/>
              </w:tabs>
              <w:spacing w:line="300" w:lineRule="auto"/>
              <w:jc w:val="center"/>
              <w:rPr>
                <w:szCs w:val="21"/>
              </w:rPr>
            </w:pPr>
            <w:r>
              <w:rPr>
                <w:szCs w:val="21"/>
              </w:rPr>
              <w:t>50%≥k&gt;20%</w:t>
            </w:r>
          </w:p>
        </w:tc>
        <w:tc>
          <w:tcPr>
            <w:tcW w:w="1936" w:type="dxa"/>
            <w:vAlign w:val="center"/>
          </w:tcPr>
          <w:p>
            <w:pPr>
              <w:tabs>
                <w:tab w:val="left" w:pos="5745"/>
              </w:tabs>
              <w:spacing w:line="300" w:lineRule="auto"/>
              <w:jc w:val="center"/>
              <w:rPr>
                <w:szCs w:val="21"/>
              </w:rPr>
            </w:pPr>
            <w:r>
              <w:rPr>
                <w:szCs w:val="21"/>
              </w:rPr>
              <w:t>20%≥k&gt;10%</w:t>
            </w:r>
          </w:p>
        </w:tc>
        <w:tc>
          <w:tcPr>
            <w:tcW w:w="1555" w:type="dxa"/>
            <w:vAlign w:val="center"/>
          </w:tcPr>
          <w:p>
            <w:pPr>
              <w:tabs>
                <w:tab w:val="left" w:pos="5745"/>
              </w:tabs>
              <w:spacing w:line="300" w:lineRule="auto"/>
              <w:jc w:val="center"/>
              <w:rPr>
                <w:szCs w:val="21"/>
              </w:rPr>
            </w:pPr>
            <w:r>
              <w:rPr>
                <w:szCs w:val="21"/>
              </w:rPr>
              <w:t>k≤10%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5" w:hRule="atLeast"/>
          <w:jc w:val="center"/>
        </w:trPr>
        <w:tc>
          <w:tcPr>
            <w:tcW w:w="2377" w:type="dxa"/>
            <w:vAlign w:val="center"/>
          </w:tcPr>
          <w:p>
            <w:pPr>
              <w:tabs>
                <w:tab w:val="left" w:pos="5745"/>
              </w:tabs>
              <w:spacing w:line="300" w:lineRule="auto"/>
              <w:jc w:val="center"/>
              <w:rPr>
                <w:szCs w:val="21"/>
              </w:rPr>
            </w:pPr>
            <w:r>
              <w:rPr>
                <w:szCs w:val="21"/>
              </w:rPr>
              <w:t>允许的最大偏差</w:t>
            </w:r>
          </w:p>
        </w:tc>
        <w:tc>
          <w:tcPr>
            <w:tcW w:w="1095" w:type="dxa"/>
            <w:vAlign w:val="center"/>
          </w:tcPr>
          <w:p>
            <w:pPr>
              <w:tabs>
                <w:tab w:val="left" w:pos="5745"/>
              </w:tabs>
              <w:spacing w:line="300" w:lineRule="auto"/>
              <w:jc w:val="center"/>
              <w:rPr>
                <w:szCs w:val="21"/>
              </w:rPr>
            </w:pPr>
            <w:r>
              <w:rPr>
                <w:szCs w:val="21"/>
              </w:rPr>
              <w:t>±20%</w:t>
            </w:r>
          </w:p>
        </w:tc>
        <w:tc>
          <w:tcPr>
            <w:tcW w:w="1893" w:type="dxa"/>
            <w:vAlign w:val="center"/>
          </w:tcPr>
          <w:p>
            <w:pPr>
              <w:tabs>
                <w:tab w:val="left" w:pos="5745"/>
              </w:tabs>
              <w:spacing w:line="300" w:lineRule="auto"/>
              <w:jc w:val="center"/>
              <w:rPr>
                <w:szCs w:val="21"/>
              </w:rPr>
            </w:pPr>
            <w:r>
              <w:rPr>
                <w:szCs w:val="21"/>
              </w:rPr>
              <w:t>±25%</w:t>
            </w:r>
          </w:p>
        </w:tc>
        <w:tc>
          <w:tcPr>
            <w:tcW w:w="1936" w:type="dxa"/>
            <w:vAlign w:val="center"/>
          </w:tcPr>
          <w:p>
            <w:pPr>
              <w:tabs>
                <w:tab w:val="left" w:pos="5745"/>
              </w:tabs>
              <w:spacing w:line="300" w:lineRule="auto"/>
              <w:jc w:val="center"/>
              <w:rPr>
                <w:szCs w:val="21"/>
              </w:rPr>
            </w:pPr>
            <w:r>
              <w:rPr>
                <w:szCs w:val="21"/>
              </w:rPr>
              <w:t>±30%</w:t>
            </w:r>
          </w:p>
        </w:tc>
        <w:tc>
          <w:tcPr>
            <w:tcW w:w="1555" w:type="dxa"/>
            <w:vAlign w:val="center"/>
          </w:tcPr>
          <w:p>
            <w:pPr>
              <w:tabs>
                <w:tab w:val="left" w:pos="5745"/>
              </w:tabs>
              <w:spacing w:line="300" w:lineRule="auto"/>
              <w:jc w:val="center"/>
              <w:rPr>
                <w:szCs w:val="21"/>
              </w:rPr>
            </w:pPr>
            <w:r>
              <w:rPr>
                <w:szCs w:val="21"/>
              </w:rPr>
              <w:t>±50%</w:t>
            </w:r>
          </w:p>
        </w:tc>
      </w:tr>
    </w:tbl>
    <w:p>
      <w:pPr>
        <w:autoSpaceDE w:val="0"/>
        <w:autoSpaceDN w:val="0"/>
        <w:adjustRightInd w:val="0"/>
        <w:spacing w:before="120" w:beforeLines="50" w:after="120" w:afterLines="50" w:line="300" w:lineRule="auto"/>
        <w:rPr>
          <w:rFonts w:eastAsia="黑体"/>
          <w:b/>
          <w:kern w:val="0"/>
          <w:szCs w:val="21"/>
        </w:rPr>
      </w:pPr>
      <w:r>
        <w:rPr>
          <w:rFonts w:eastAsia="黑体"/>
          <w:kern w:val="0"/>
          <w:szCs w:val="21"/>
        </w:rPr>
        <w:t>B.3.6  图谱</w:t>
      </w:r>
    </w:p>
    <w:p>
      <w:pPr>
        <w:autoSpaceDE w:val="0"/>
        <w:autoSpaceDN w:val="0"/>
        <w:adjustRightInd w:val="0"/>
        <w:spacing w:line="300" w:lineRule="auto"/>
        <w:jc w:val="center"/>
        <w:rPr>
          <w:b/>
          <w:kern w:val="0"/>
          <w:szCs w:val="21"/>
        </w:rPr>
      </w:pPr>
      <w:r>
        <w:rPr>
          <w:b/>
          <w:kern w:val="0"/>
          <w:szCs w:val="21"/>
        </w:rPr>
        <w:drawing>
          <wp:inline distT="0" distB="0" distL="0" distR="0">
            <wp:extent cx="3543300" cy="1551940"/>
            <wp:effectExtent l="0" t="0" r="0" b="0"/>
            <wp:docPr id="28" name="图片 28" descr="图表, 直方图&#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28" descr="图表, 直方图&#10;&#10;描述已自动生成"/>
                    <pic:cNvPicPr>
                      <a:picLocks noChangeAspect="true" noChangeArrowheads="true"/>
                    </pic:cNvPicPr>
                  </pic:nvPicPr>
                  <pic:blipFill>
                    <a:blip r:embed="rId9"/>
                    <a:srcRect/>
                    <a:stretch>
                      <a:fillRect/>
                    </a:stretch>
                  </pic:blipFill>
                  <pic:spPr>
                    <a:xfrm>
                      <a:off x="0" y="0"/>
                      <a:ext cx="3543300" cy="1552075"/>
                    </a:xfrm>
                    <a:prstGeom prst="rect">
                      <a:avLst/>
                    </a:prstGeom>
                    <a:noFill/>
                    <a:ln w="9525">
                      <a:noFill/>
                      <a:miter lim="800000"/>
                      <a:headEnd/>
                      <a:tailEnd/>
                    </a:ln>
                  </pic:spPr>
                </pic:pic>
              </a:graphicData>
            </a:graphic>
          </wp:inline>
        </w:drawing>
      </w:r>
    </w:p>
    <w:p>
      <w:pPr>
        <w:jc w:val="center"/>
        <w:rPr>
          <w:rFonts w:eastAsia="黑体"/>
          <w:kern w:val="0"/>
          <w:szCs w:val="21"/>
        </w:rPr>
      </w:pPr>
      <w:r>
        <w:rPr>
          <w:rFonts w:eastAsia="黑体"/>
          <w:kern w:val="0"/>
          <w:szCs w:val="21"/>
        </w:rPr>
        <w:t>图B.3  苯酚标准溶液</w:t>
      </w:r>
      <w:r>
        <w:rPr>
          <w:rFonts w:hint="eastAsia" w:eastAsia="黑体"/>
          <w:bCs/>
          <w:szCs w:val="21"/>
        </w:rPr>
        <w:t>GC-MS/MS色谱</w:t>
      </w:r>
      <w:r>
        <w:rPr>
          <w:rFonts w:eastAsia="黑体"/>
          <w:bCs/>
          <w:szCs w:val="21"/>
        </w:rPr>
        <w:t>图</w:t>
      </w:r>
    </w:p>
    <w:p>
      <w:pPr>
        <w:autoSpaceDE w:val="0"/>
        <w:autoSpaceDN w:val="0"/>
        <w:adjustRightInd w:val="0"/>
        <w:spacing w:line="300" w:lineRule="auto"/>
        <w:jc w:val="center"/>
        <w:rPr>
          <w:kern w:val="0"/>
          <w:sz w:val="18"/>
          <w:szCs w:val="21"/>
        </w:rPr>
      </w:pPr>
      <w:r>
        <w:rPr>
          <w:kern w:val="0"/>
          <w:sz w:val="18"/>
          <w:szCs w:val="21"/>
        </w:rPr>
        <w:t>1：苯酚</w:t>
      </w:r>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ODE5Nzg3NDYwODcxOTJmNmQzOGUzOGY3NWIyZGMifQ=="/>
  </w:docVars>
  <w:rsids>
    <w:rsidRoot w:val="009C0501"/>
    <w:rsid w:val="00032037"/>
    <w:rsid w:val="00072E31"/>
    <w:rsid w:val="000B00F3"/>
    <w:rsid w:val="000B6485"/>
    <w:rsid w:val="000B6BAF"/>
    <w:rsid w:val="00113010"/>
    <w:rsid w:val="00145069"/>
    <w:rsid w:val="00147229"/>
    <w:rsid w:val="001904B9"/>
    <w:rsid w:val="001D19FB"/>
    <w:rsid w:val="001E2D9B"/>
    <w:rsid w:val="001E5A67"/>
    <w:rsid w:val="0021172B"/>
    <w:rsid w:val="0023001F"/>
    <w:rsid w:val="00252F5A"/>
    <w:rsid w:val="002549DC"/>
    <w:rsid w:val="00266264"/>
    <w:rsid w:val="0027546B"/>
    <w:rsid w:val="00295B5E"/>
    <w:rsid w:val="003305B5"/>
    <w:rsid w:val="003C5CA9"/>
    <w:rsid w:val="003D7E07"/>
    <w:rsid w:val="003F13CE"/>
    <w:rsid w:val="00431BB6"/>
    <w:rsid w:val="00432C96"/>
    <w:rsid w:val="00464C24"/>
    <w:rsid w:val="0047369F"/>
    <w:rsid w:val="00475977"/>
    <w:rsid w:val="005948BD"/>
    <w:rsid w:val="005E3D6D"/>
    <w:rsid w:val="005F144F"/>
    <w:rsid w:val="005F484A"/>
    <w:rsid w:val="006240A1"/>
    <w:rsid w:val="00630B80"/>
    <w:rsid w:val="0065319A"/>
    <w:rsid w:val="006554F4"/>
    <w:rsid w:val="00673B7D"/>
    <w:rsid w:val="00674C01"/>
    <w:rsid w:val="0071264B"/>
    <w:rsid w:val="0072672A"/>
    <w:rsid w:val="00731B46"/>
    <w:rsid w:val="00791928"/>
    <w:rsid w:val="007C0E88"/>
    <w:rsid w:val="007C6F44"/>
    <w:rsid w:val="007D2F6F"/>
    <w:rsid w:val="007E3F62"/>
    <w:rsid w:val="00817F88"/>
    <w:rsid w:val="00851A89"/>
    <w:rsid w:val="00875C83"/>
    <w:rsid w:val="00876A1C"/>
    <w:rsid w:val="00886EDB"/>
    <w:rsid w:val="008B18B3"/>
    <w:rsid w:val="008E2D54"/>
    <w:rsid w:val="008F6AEC"/>
    <w:rsid w:val="00975ECB"/>
    <w:rsid w:val="00990BAA"/>
    <w:rsid w:val="009B7060"/>
    <w:rsid w:val="009C0501"/>
    <w:rsid w:val="00A36575"/>
    <w:rsid w:val="00A50919"/>
    <w:rsid w:val="00A93936"/>
    <w:rsid w:val="00AA1A81"/>
    <w:rsid w:val="00AD6430"/>
    <w:rsid w:val="00AE0C2D"/>
    <w:rsid w:val="00B32AB3"/>
    <w:rsid w:val="00B51C15"/>
    <w:rsid w:val="00B77E85"/>
    <w:rsid w:val="00B813B6"/>
    <w:rsid w:val="00BA1C3E"/>
    <w:rsid w:val="00BC1198"/>
    <w:rsid w:val="00BE470C"/>
    <w:rsid w:val="00C45E8C"/>
    <w:rsid w:val="00CB73B8"/>
    <w:rsid w:val="00D041F1"/>
    <w:rsid w:val="00D058D9"/>
    <w:rsid w:val="00D217AF"/>
    <w:rsid w:val="00D50150"/>
    <w:rsid w:val="00D56D90"/>
    <w:rsid w:val="00D80AAE"/>
    <w:rsid w:val="00D8364A"/>
    <w:rsid w:val="00DA0203"/>
    <w:rsid w:val="00DA40C6"/>
    <w:rsid w:val="00DC729A"/>
    <w:rsid w:val="00DD01F9"/>
    <w:rsid w:val="00E10F20"/>
    <w:rsid w:val="00E27B83"/>
    <w:rsid w:val="00E31898"/>
    <w:rsid w:val="00E426C6"/>
    <w:rsid w:val="00E43E18"/>
    <w:rsid w:val="00E80CB7"/>
    <w:rsid w:val="00E8391A"/>
    <w:rsid w:val="00EC5705"/>
    <w:rsid w:val="00F26731"/>
    <w:rsid w:val="00F46880"/>
    <w:rsid w:val="00FB3D50"/>
    <w:rsid w:val="00FB5E48"/>
    <w:rsid w:val="00FC5727"/>
    <w:rsid w:val="00FD5B37"/>
    <w:rsid w:val="0ED91C40"/>
    <w:rsid w:val="11CF66B1"/>
    <w:rsid w:val="13ED08E6"/>
    <w:rsid w:val="1BD14CC5"/>
    <w:rsid w:val="281E2746"/>
    <w:rsid w:val="299B1B74"/>
    <w:rsid w:val="2A0E0EA1"/>
    <w:rsid w:val="2C07445C"/>
    <w:rsid w:val="332B5D17"/>
    <w:rsid w:val="369260AD"/>
    <w:rsid w:val="40AD420F"/>
    <w:rsid w:val="419E4DCC"/>
    <w:rsid w:val="430420E0"/>
    <w:rsid w:val="43BF5CF5"/>
    <w:rsid w:val="48716D38"/>
    <w:rsid w:val="4E0C0589"/>
    <w:rsid w:val="55A439DB"/>
    <w:rsid w:val="56DE4CCA"/>
    <w:rsid w:val="5FE62E42"/>
    <w:rsid w:val="60F71EB1"/>
    <w:rsid w:val="6A847F03"/>
    <w:rsid w:val="6B55512C"/>
    <w:rsid w:val="70787761"/>
    <w:rsid w:val="72BB1681"/>
    <w:rsid w:val="737A1539"/>
    <w:rsid w:val="77297D8C"/>
    <w:rsid w:val="79D35D8D"/>
    <w:rsid w:val="A7FC9F63"/>
    <w:rsid w:val="FFFB83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
    <w:qFormat/>
    <w:uiPriority w:val="99"/>
    <w:pPr>
      <w:ind w:left="420" w:leftChars="200" w:firstLine="420" w:firstLineChars="200"/>
    </w:pPr>
  </w:style>
  <w:style w:type="paragraph" w:styleId="3">
    <w:name w:val="Body Text Indent"/>
    <w:basedOn w:val="1"/>
    <w:link w:val="10"/>
    <w:semiHidden/>
    <w:unhideWhenUsed/>
    <w:qFormat/>
    <w:uiPriority w:val="99"/>
    <w:pPr>
      <w:spacing w:after="120"/>
      <w:ind w:left="283"/>
    </w:pPr>
  </w:style>
  <w:style w:type="paragraph" w:styleId="4">
    <w:name w:val="Balloon Text"/>
    <w:basedOn w:val="1"/>
    <w:link w:val="13"/>
    <w:semiHidden/>
    <w:unhideWhenUsed/>
    <w:qFormat/>
    <w:uiPriority w:val="99"/>
    <w:rPr>
      <w:rFonts w:ascii="宋体"/>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3"/>
    <w:semiHidden/>
    <w:qFormat/>
    <w:uiPriority w:val="99"/>
    <w:rPr>
      <w:rFonts w:ascii="Times New Roman" w:hAnsi="Times New Roman" w:eastAsia="宋体" w:cs="Times New Roman"/>
      <w:kern w:val="2"/>
      <w:sz w:val="21"/>
      <w:szCs w:val="20"/>
    </w:rPr>
  </w:style>
  <w:style w:type="character" w:customStyle="1" w:styleId="11">
    <w:name w:val="正文首行缩进 2 Char"/>
    <w:basedOn w:val="10"/>
    <w:semiHidden/>
    <w:qFormat/>
    <w:uiPriority w:val="99"/>
    <w:rPr>
      <w:rFonts w:ascii="Times New Roman" w:hAnsi="Times New Roman" w:eastAsia="宋体" w:cs="Times New Roman"/>
      <w:kern w:val="2"/>
      <w:sz w:val="21"/>
      <w:szCs w:val="20"/>
    </w:rPr>
  </w:style>
  <w:style w:type="character" w:customStyle="1" w:styleId="12">
    <w:name w:val="正文首行缩进 2 Char1"/>
    <w:link w:val="2"/>
    <w:qFormat/>
    <w:uiPriority w:val="99"/>
    <w:rPr>
      <w:rFonts w:ascii="Times New Roman" w:hAnsi="Times New Roman" w:eastAsia="宋体" w:cs="Times New Roman"/>
      <w:kern w:val="2"/>
      <w:sz w:val="21"/>
      <w:szCs w:val="20"/>
    </w:rPr>
  </w:style>
  <w:style w:type="character" w:customStyle="1" w:styleId="13">
    <w:name w:val="批注框文本 Char"/>
    <w:basedOn w:val="9"/>
    <w:link w:val="4"/>
    <w:semiHidden/>
    <w:qFormat/>
    <w:uiPriority w:val="99"/>
    <w:rPr>
      <w:rFonts w:ascii="宋体" w:hAnsi="Times New Roman" w:eastAsia="宋体" w:cs="Times New Roman"/>
      <w:kern w:val="2"/>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5">
    <w:name w:val="页眉 Char"/>
    <w:basedOn w:val="9"/>
    <w:link w:val="6"/>
    <w:qFormat/>
    <w:uiPriority w:val="99"/>
    <w:rPr>
      <w:rFonts w:ascii="Times New Roman" w:hAnsi="Times New Roman" w:eastAsia="宋体" w:cs="Times New Roman"/>
      <w:kern w:val="2"/>
      <w:sz w:val="18"/>
      <w:szCs w:val="18"/>
    </w:rPr>
  </w:style>
  <w:style w:type="character" w:customStyle="1" w:styleId="16">
    <w:name w:val="页脚 Char"/>
    <w:basedOn w:val="9"/>
    <w:link w:val="5"/>
    <w:qFormat/>
    <w:uiPriority w:val="99"/>
    <w:rPr>
      <w:rFonts w:ascii="Times New Roman" w:hAnsi="Times New Roman" w:eastAsia="宋体" w:cs="Times New Roman"/>
      <w:kern w:val="2"/>
      <w:sz w:val="18"/>
      <w:szCs w:val="18"/>
    </w:rPr>
  </w:style>
  <w:style w:type="character" w:customStyle="1" w:styleId="17">
    <w:name w:val="markedcontent"/>
    <w:basedOn w:val="9"/>
    <w:qFormat/>
    <w:uiPriority w:val="0"/>
  </w:style>
  <w:style w:type="paragraph" w:styleId="18">
    <w:name w:val="List Paragraph"/>
    <w:basedOn w:val="1"/>
    <w:qFormat/>
    <w:uiPriority w:val="34"/>
    <w:pPr>
      <w:ind w:firstLine="420" w:firstLineChars="200"/>
    </w:p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883</Words>
  <Characters>5037</Characters>
  <Lines>41</Lines>
  <Paragraphs>11</Paragraphs>
  <TotalTime>21</TotalTime>
  <ScaleCrop>false</ScaleCrop>
  <LinksUpToDate>false</LinksUpToDate>
  <CharactersWithSpaces>5909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2023-07-28T22:49:00Z</dcterms:created>
  <dc:creator>jianlonghai</dc:creator>
  <cp:lastModifiedBy>kylin</cp:lastModifiedBy>
  <cp:lastPrinted>2023-05-29T17:23:00Z</cp:lastPrinted>
  <dcterms:modified xsi:type="dcterms:W3CDTF">2023-08-24T14:49:59Z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6CAF2CC060254BBC8884E567400CF369_12</vt:lpwstr>
  </property>
</Properties>
</file>